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000000"/>
          <w:spacing w:val="-4"/>
          <w:kern w:val="0"/>
          <w:sz w:val="21"/>
          <w:szCs w:val="21"/>
          <w:lang w:val="en-US" w:eastAsia="zh-CN" w:bidi="ar"/>
        </w:rPr>
      </w:pPr>
    </w:p>
    <w:p>
      <w:pPr>
        <w:pStyle w:val="10"/>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spacing w:val="-4"/>
          <w:lang w:val="en-US" w:eastAsia="zh-CN"/>
        </w:rPr>
      </w:pPr>
    </w:p>
    <w:p>
      <w:pPr>
        <w:pStyle w:val="16"/>
        <w:keepNext w:val="0"/>
        <w:keepLines w:val="0"/>
        <w:pageBreakBefore w:val="0"/>
        <w:widowControl/>
        <w:kinsoku/>
        <w:wordWrap/>
        <w:overflowPunct/>
        <w:topLinePunct w:val="0"/>
        <w:autoSpaceDE/>
        <w:autoSpaceDN/>
        <w:bidi w:val="0"/>
        <w:adjustRightInd/>
        <w:snapToGrid/>
        <w:spacing w:before="485" w:beforeLines="155" w:after="0" w:line="590" w:lineRule="exact"/>
        <w:ind w:left="0" w:leftChars="0" w:firstLine="0" w:firstLineChars="0"/>
        <w:textAlignment w:val="baseline"/>
        <w:rPr>
          <w:rFonts w:hint="default" w:ascii="Times New Roman" w:hAnsi="Times New Roman" w:cs="Times New Roman"/>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right="0" w:rightChars="0"/>
        <w:jc w:val="center"/>
        <w:textAlignment w:val="auto"/>
        <w:rPr>
          <w:rFonts w:hint="default" w:ascii="Times New Roman" w:hAnsi="Times New Roman" w:eastAsia="方正小标宋简体" w:cs="Times New Roman"/>
          <w:color w:val="000000"/>
          <w:spacing w:val="-4"/>
          <w:sz w:val="44"/>
          <w:szCs w:val="44"/>
        </w:rPr>
      </w:pPr>
      <w:r>
        <w:rPr>
          <w:rFonts w:hint="default" w:ascii="Times New Roman" w:hAnsi="Times New Roman" w:eastAsia="方正小标宋简体" w:cs="Times New Roman"/>
          <w:color w:val="000000"/>
          <w:spacing w:val="-4"/>
          <w:sz w:val="44"/>
          <w:szCs w:val="44"/>
          <w:lang w:eastAsia="zh-CN"/>
        </w:rPr>
        <w:t>大英县商</w:t>
      </w:r>
      <w:r>
        <w:rPr>
          <w:rFonts w:hint="default" w:ascii="Times New Roman" w:hAnsi="Times New Roman" w:eastAsia="方正小标宋简体" w:cs="Times New Roman"/>
          <w:color w:val="000000"/>
          <w:spacing w:val="-4"/>
          <w:sz w:val="44"/>
          <w:szCs w:val="44"/>
          <w:highlight w:val="none"/>
          <w:lang w:eastAsia="zh-CN"/>
        </w:rPr>
        <w:t>务和经</w:t>
      </w:r>
      <w:r>
        <w:rPr>
          <w:rFonts w:hint="default" w:ascii="Times New Roman" w:hAnsi="Times New Roman" w:eastAsia="方正小标宋简体" w:cs="Times New Roman"/>
          <w:color w:val="000000"/>
          <w:spacing w:val="-4"/>
          <w:sz w:val="44"/>
          <w:szCs w:val="44"/>
          <w:lang w:eastAsia="zh-CN"/>
        </w:rPr>
        <w:t>济合作局</w:t>
      </w:r>
    </w:p>
    <w:p>
      <w:pPr>
        <w:keepNext w:val="0"/>
        <w:keepLines w:val="0"/>
        <w:pageBreakBefore w:val="0"/>
        <w:widowControl w:val="0"/>
        <w:kinsoku/>
        <w:wordWrap/>
        <w:overflowPunct/>
        <w:topLinePunct w:val="0"/>
        <w:autoSpaceDE/>
        <w:autoSpaceDN/>
        <w:bidi w:val="0"/>
        <w:adjustRightInd/>
        <w:snapToGrid w:val="0"/>
        <w:spacing w:line="590" w:lineRule="exact"/>
        <w:ind w:left="0"/>
        <w:jc w:val="center"/>
        <w:textAlignment w:val="auto"/>
        <w:outlineLvl w:val="9"/>
        <w:rPr>
          <w:rFonts w:hint="eastAsia" w:ascii="Times New Roman" w:hAnsi="Times New Roman" w:eastAsia="方正小标宋简体"/>
          <w:spacing w:val="-4"/>
          <w:sz w:val="44"/>
          <w:szCs w:val="44"/>
          <w:lang w:val="en-US" w:eastAsia="zh-CN"/>
        </w:rPr>
      </w:pPr>
      <w:r>
        <w:rPr>
          <w:rFonts w:hint="eastAsia" w:ascii="Times New Roman" w:hAnsi="Times New Roman" w:eastAsia="方正小标宋简体"/>
          <w:spacing w:val="-4"/>
          <w:sz w:val="44"/>
          <w:szCs w:val="44"/>
          <w:lang w:val="en-US" w:eastAsia="zh-CN"/>
        </w:rPr>
        <w:t>关于大英县金阳市场建设成本补助资金</w:t>
      </w:r>
    </w:p>
    <w:p>
      <w:pPr>
        <w:keepNext w:val="0"/>
        <w:keepLines w:val="0"/>
        <w:pageBreakBefore w:val="0"/>
        <w:widowControl w:val="0"/>
        <w:kinsoku/>
        <w:wordWrap/>
        <w:overflowPunct/>
        <w:topLinePunct w:val="0"/>
        <w:autoSpaceDE/>
        <w:autoSpaceDN/>
        <w:bidi w:val="0"/>
        <w:adjustRightInd w:val="0"/>
        <w:snapToGrid w:val="0"/>
        <w:spacing w:line="590" w:lineRule="exact"/>
        <w:ind w:left="0" w:right="0" w:rightChars="0" w:firstLine="0"/>
        <w:jc w:val="center"/>
        <w:textAlignment w:val="auto"/>
        <w:rPr>
          <w:rFonts w:hint="default" w:ascii="Times New Roman" w:hAnsi="Times New Roman" w:eastAsia="仿宋_GB2312" w:cs="Times New Roman"/>
          <w:color w:val="000000"/>
          <w:spacing w:val="-4"/>
          <w:sz w:val="44"/>
          <w:szCs w:val="44"/>
          <w:lang w:val="en-US" w:eastAsia="zh-CN"/>
        </w:rPr>
      </w:pPr>
      <w:r>
        <w:rPr>
          <w:rFonts w:hint="eastAsia" w:ascii="Times New Roman" w:hAnsi="Times New Roman" w:eastAsia="方正小标宋简体"/>
          <w:spacing w:val="-4"/>
          <w:sz w:val="44"/>
          <w:szCs w:val="44"/>
          <w:lang w:val="en-US" w:eastAsia="zh-CN"/>
        </w:rPr>
        <w:t>项目支出绩效的自评</w:t>
      </w:r>
      <w:r>
        <w:rPr>
          <w:rFonts w:hint="eastAsia" w:ascii="Times New Roman" w:hAnsi="Times New Roman" w:eastAsia="方正小标宋简体" w:cs="方正小标宋简体"/>
          <w:spacing w:val="-4"/>
          <w:sz w:val="44"/>
          <w:szCs w:val="44"/>
          <w:lang w:val="en-US" w:eastAsia="zh-CN"/>
        </w:rPr>
        <w:t>报</w:t>
      </w:r>
      <w:r>
        <w:rPr>
          <w:rFonts w:hint="default" w:ascii="Times New Roman" w:hAnsi="Times New Roman" w:eastAsia="方正小标宋简体" w:cs="Times New Roman"/>
          <w:spacing w:val="-4"/>
          <w:sz w:val="44"/>
          <w:szCs w:val="44"/>
          <w:lang w:val="en-US" w:eastAsia="zh-CN"/>
        </w:rPr>
        <w:t>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jc w:val="both"/>
        <w:textAlignment w:val="baseline"/>
        <w:outlineLvl w:val="9"/>
        <w:rPr>
          <w:rFonts w:hint="default" w:ascii="Times New Roman" w:hAnsi="Times New Roman" w:eastAsia="仿宋_GB2312" w:cs="Times New Roman"/>
          <w:color w:val="000000"/>
          <w:spacing w:val="-4"/>
          <w:sz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jc w:val="both"/>
        <w:textAlignment w:val="baseline"/>
        <w:outlineLvl w:val="9"/>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县财政局：</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4" w:firstLineChars="200"/>
        <w:jc w:val="left"/>
        <w:textAlignment w:val="auto"/>
        <w:outlineLvl w:val="9"/>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eastAsia="zh-CN"/>
        </w:rPr>
        <w:t>根据《大英县财政局关于开展</w:t>
      </w:r>
      <w:r>
        <w:rPr>
          <w:rFonts w:hint="eastAsia" w:ascii="Times New Roman" w:hAnsi="Times New Roman" w:eastAsia="仿宋_GB2312" w:cs="仿宋_GB2312"/>
          <w:spacing w:val="-4"/>
          <w:sz w:val="32"/>
          <w:szCs w:val="32"/>
          <w:lang w:val="en-US" w:eastAsia="zh-CN"/>
        </w:rPr>
        <w:t>2024年度部门、项目、政策支出绩效自评工作的通知</w:t>
      </w:r>
      <w:r>
        <w:rPr>
          <w:rFonts w:hint="eastAsia" w:ascii="Times New Roman" w:hAnsi="Times New Roman" w:eastAsia="仿宋_GB2312" w:cs="仿宋_GB2312"/>
          <w:spacing w:val="-4"/>
          <w:sz w:val="32"/>
          <w:szCs w:val="32"/>
          <w:lang w:eastAsia="zh-CN"/>
        </w:rPr>
        <w:t>》（大财发</w:t>
      </w:r>
      <w:r>
        <w:rPr>
          <w:rFonts w:hint="eastAsia" w:ascii="Times New Roman" w:hAnsi="Times New Roman" w:eastAsia="仿宋_GB2312" w:cs="仿宋_GB2312"/>
          <w:spacing w:val="-4"/>
          <w:sz w:val="32"/>
          <w:szCs w:val="32"/>
          <w:lang w:val="en-US" w:eastAsia="zh-CN"/>
        </w:rPr>
        <w:t>〔2024〕87号</w:t>
      </w:r>
      <w:r>
        <w:rPr>
          <w:rFonts w:hint="eastAsia" w:ascii="Times New Roman" w:hAnsi="Times New Roman" w:eastAsia="仿宋_GB2312" w:cs="仿宋_GB2312"/>
          <w:spacing w:val="-4"/>
          <w:sz w:val="32"/>
          <w:szCs w:val="32"/>
          <w:lang w:eastAsia="zh-CN"/>
        </w:rPr>
        <w:t>）文件要求，我局高度重视，立即组织落实专人组织开展此项工作。现将我局</w:t>
      </w:r>
      <w:r>
        <w:rPr>
          <w:rFonts w:hint="eastAsia" w:ascii="Times New Roman" w:hAnsi="Times New Roman" w:eastAsia="仿宋_GB2312" w:cs="仿宋_GB2312"/>
          <w:spacing w:val="-4"/>
          <w:sz w:val="32"/>
          <w:szCs w:val="32"/>
          <w:lang w:val="en-US" w:eastAsia="zh-CN"/>
        </w:rPr>
        <w:t>2023年度</w:t>
      </w:r>
      <w:r>
        <w:rPr>
          <w:rFonts w:hint="eastAsia" w:ascii="Times New Roman" w:hAnsi="Times New Roman" w:eastAsia="仿宋_GB2312" w:cs="仿宋_GB2312"/>
          <w:spacing w:val="-4"/>
          <w:sz w:val="32"/>
          <w:szCs w:val="32"/>
          <w:lang w:eastAsia="zh-CN"/>
        </w:rPr>
        <w:t>大英县金阳市场建设成本补助资金</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项目</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支出绩效情况报告如下。</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4" w:firstLineChars="200"/>
        <w:jc w:val="left"/>
        <w:textAlignment w:val="auto"/>
        <w:outlineLvl w:val="9"/>
        <w:rPr>
          <w:rFonts w:hint="default" w:ascii="Times New Roman" w:hAnsi="Times New Roman" w:eastAsia="黑体"/>
          <w:spacing w:val="-4"/>
          <w:sz w:val="32"/>
          <w:szCs w:val="32"/>
          <w:lang w:val="en-US" w:eastAsia="zh-CN"/>
        </w:rPr>
      </w:pPr>
      <w:r>
        <w:rPr>
          <w:rFonts w:hint="eastAsia" w:ascii="Times New Roman" w:hAnsi="Times New Roman" w:eastAsia="黑体"/>
          <w:spacing w:val="-4"/>
          <w:sz w:val="32"/>
          <w:szCs w:val="32"/>
          <w:lang w:val="en-US" w:eastAsia="zh-CN"/>
        </w:rPr>
        <w:t>一、</w:t>
      </w:r>
      <w:r>
        <w:rPr>
          <w:rFonts w:hint="eastAsia" w:ascii="Times New Roman" w:hAnsi="Times New Roman" w:eastAsia="黑体"/>
          <w:spacing w:val="-4"/>
          <w:sz w:val="32"/>
          <w:szCs w:val="32"/>
          <w:lang w:eastAsia="zh-CN"/>
        </w:rPr>
        <w:t>基本情况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（一）项目基本情况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仿宋_GB2312" w:cs="仿宋_GB2312"/>
          <w:spacing w:val="-4"/>
          <w:sz w:val="32"/>
          <w:szCs w:val="32"/>
          <w:lang w:eastAsia="zh-CN"/>
        </w:rPr>
      </w:pPr>
      <w:r>
        <w:rPr>
          <w:rFonts w:hint="eastAsia" w:ascii="Times New Roman" w:hAnsi="Times New Roman" w:eastAsia="仿宋_GB2312" w:cs="仿宋_GB2312"/>
          <w:b/>
          <w:bCs/>
          <w:spacing w:val="-4"/>
          <w:sz w:val="32"/>
          <w:szCs w:val="32"/>
          <w:lang w:val="en-US" w:eastAsia="zh-CN"/>
        </w:rPr>
        <w:t>1.基本概况。</w:t>
      </w:r>
      <w:r>
        <w:rPr>
          <w:rFonts w:hint="eastAsia" w:ascii="Times New Roman" w:hAnsi="Times New Roman" w:eastAsia="仿宋_GB2312" w:cs="仿宋_GB2312"/>
          <w:spacing w:val="-4"/>
          <w:sz w:val="32"/>
          <w:szCs w:val="32"/>
          <w:lang w:val="en-US" w:eastAsia="zh-CN"/>
        </w:rPr>
        <w:t>金阳市场是大英县人民政府1999年通过招商引资成都金阳房地产开发有限公司建设的项目，</w:t>
      </w:r>
      <w:r>
        <w:rPr>
          <w:rFonts w:hint="eastAsia" w:ascii="Times New Roman" w:hAnsi="Times New Roman" w:eastAsia="仿宋_GB2312" w:cs="仿宋_GB2312"/>
          <w:spacing w:val="-4"/>
          <w:sz w:val="32"/>
          <w:szCs w:val="32"/>
        </w:rPr>
        <w:t>市场建成后，由于</w:t>
      </w:r>
      <w:r>
        <w:rPr>
          <w:rFonts w:hint="eastAsia" w:ascii="Times New Roman" w:hAnsi="Times New Roman" w:eastAsia="仿宋_GB2312" w:cs="仿宋_GB2312"/>
          <w:spacing w:val="-4"/>
          <w:sz w:val="32"/>
          <w:szCs w:val="32"/>
          <w:lang w:eastAsia="zh-CN"/>
        </w:rPr>
        <w:t>经营</w:t>
      </w:r>
      <w:r>
        <w:rPr>
          <w:rFonts w:hint="eastAsia" w:ascii="Times New Roman" w:hAnsi="Times New Roman" w:eastAsia="仿宋_GB2312" w:cs="仿宋_GB2312"/>
          <w:spacing w:val="-4"/>
          <w:sz w:val="32"/>
          <w:szCs w:val="32"/>
          <w:lang w:val="en-US" w:eastAsia="zh-CN"/>
        </w:rPr>
        <w:t>不善</w:t>
      </w:r>
      <w:r>
        <w:rPr>
          <w:rFonts w:hint="eastAsia" w:ascii="Times New Roman" w:hAnsi="Times New Roman" w:eastAsia="仿宋_GB2312" w:cs="仿宋_GB2312"/>
          <w:spacing w:val="-4"/>
          <w:sz w:val="32"/>
          <w:szCs w:val="32"/>
          <w:lang w:eastAsia="zh-CN"/>
        </w:rPr>
        <w:t>等</w:t>
      </w:r>
      <w:r>
        <w:rPr>
          <w:rFonts w:hint="eastAsia" w:ascii="Times New Roman" w:hAnsi="Times New Roman" w:eastAsia="仿宋_GB2312" w:cs="仿宋_GB2312"/>
          <w:spacing w:val="-4"/>
          <w:sz w:val="32"/>
          <w:szCs w:val="32"/>
        </w:rPr>
        <w:t>各种原因一直处于瘫痪状态</w:t>
      </w:r>
      <w:r>
        <w:rPr>
          <w:rFonts w:hint="eastAsia" w:ascii="Times New Roman" w:hAnsi="Times New Roman" w:eastAsia="仿宋_GB2312" w:cs="仿宋_GB2312"/>
          <w:spacing w:val="-4"/>
          <w:sz w:val="32"/>
          <w:szCs w:val="32"/>
          <w:lang w:eastAsia="zh-CN"/>
        </w:rPr>
        <w:t>。</w:t>
      </w:r>
      <w:r>
        <w:rPr>
          <w:rFonts w:hint="eastAsia" w:ascii="Times New Roman" w:hAnsi="Times New Roman" w:eastAsia="仿宋_GB2312" w:cs="仿宋_GB2312"/>
          <w:spacing w:val="-4"/>
          <w:sz w:val="32"/>
          <w:szCs w:val="32"/>
        </w:rPr>
        <w:t>20</w:t>
      </w:r>
      <w:r>
        <w:rPr>
          <w:rFonts w:hint="eastAsia" w:ascii="Times New Roman" w:hAnsi="Times New Roman" w:eastAsia="仿宋_GB2312" w:cs="仿宋_GB2312"/>
          <w:spacing w:val="-4"/>
          <w:sz w:val="32"/>
          <w:szCs w:val="32"/>
          <w:lang w:val="en-US" w:eastAsia="zh-CN"/>
        </w:rPr>
        <w:t>0</w:t>
      </w:r>
      <w:r>
        <w:rPr>
          <w:rFonts w:hint="eastAsia" w:ascii="Times New Roman" w:hAnsi="Times New Roman" w:eastAsia="仿宋_GB2312" w:cs="仿宋_GB2312"/>
          <w:spacing w:val="-4"/>
          <w:sz w:val="32"/>
          <w:szCs w:val="32"/>
        </w:rPr>
        <w:t>9年</w:t>
      </w:r>
      <w:r>
        <w:rPr>
          <w:rFonts w:hint="eastAsia" w:ascii="Times New Roman" w:hAnsi="Times New Roman" w:eastAsia="仿宋_GB2312" w:cs="仿宋_GB2312"/>
          <w:spacing w:val="-4"/>
          <w:sz w:val="32"/>
          <w:szCs w:val="32"/>
          <w:lang w:val="en-US" w:eastAsia="zh-CN"/>
        </w:rPr>
        <w:t>成都金阳房地产开发有限公司</w:t>
      </w:r>
      <w:r>
        <w:rPr>
          <w:rFonts w:hint="eastAsia" w:ascii="Times New Roman" w:hAnsi="Times New Roman" w:eastAsia="仿宋_GB2312" w:cs="仿宋_GB2312"/>
          <w:spacing w:val="-4"/>
          <w:sz w:val="32"/>
          <w:szCs w:val="32"/>
          <w:lang w:eastAsia="zh-CN"/>
        </w:rPr>
        <w:t>将</w:t>
      </w:r>
      <w:r>
        <w:rPr>
          <w:rFonts w:hint="eastAsia" w:ascii="Times New Roman" w:hAnsi="Times New Roman" w:eastAsia="仿宋_GB2312" w:cs="仿宋_GB2312"/>
          <w:spacing w:val="-4"/>
          <w:sz w:val="32"/>
          <w:szCs w:val="32"/>
        </w:rPr>
        <w:t>项目整体转让</w:t>
      </w:r>
      <w:r>
        <w:rPr>
          <w:rFonts w:hint="eastAsia" w:ascii="Times New Roman" w:hAnsi="Times New Roman" w:eastAsia="仿宋_GB2312" w:cs="仿宋_GB2312"/>
          <w:spacing w:val="-4"/>
          <w:sz w:val="32"/>
          <w:szCs w:val="32"/>
          <w:lang w:eastAsia="zh-CN"/>
        </w:rPr>
        <w:t>给</w:t>
      </w:r>
      <w:r>
        <w:rPr>
          <w:rFonts w:hint="eastAsia" w:ascii="Times New Roman" w:hAnsi="Times New Roman" w:eastAsia="仿宋_GB2312" w:cs="仿宋_GB2312"/>
          <w:spacing w:val="-4"/>
          <w:sz w:val="32"/>
          <w:szCs w:val="32"/>
        </w:rPr>
        <w:t>遂宁永鸿房地产开发有限公司</w:t>
      </w:r>
      <w:r>
        <w:rPr>
          <w:rFonts w:hint="eastAsia" w:ascii="Times New Roman" w:hAnsi="Times New Roman" w:eastAsia="仿宋_GB2312" w:cs="仿宋_GB2312"/>
          <w:spacing w:val="-4"/>
          <w:sz w:val="32"/>
          <w:szCs w:val="32"/>
          <w:lang w:eastAsia="zh-CN"/>
        </w:rPr>
        <w:t>（以下简称</w:t>
      </w:r>
      <w:r>
        <w:rPr>
          <w:rFonts w:hint="eastAsia" w:ascii="Times New Roman" w:hAnsi="Times New Roman" w:eastAsia="仿宋_GB2312" w:cs="仿宋_GB2312"/>
          <w:spacing w:val="-4"/>
          <w:sz w:val="32"/>
          <w:szCs w:val="32"/>
        </w:rPr>
        <w:t>永鸿</w:t>
      </w:r>
      <w:r>
        <w:rPr>
          <w:rFonts w:hint="eastAsia" w:ascii="Times New Roman" w:hAnsi="Times New Roman" w:eastAsia="仿宋_GB2312" w:cs="仿宋_GB2312"/>
          <w:spacing w:val="-4"/>
          <w:sz w:val="32"/>
          <w:szCs w:val="32"/>
          <w:lang w:eastAsia="zh-CN"/>
        </w:rPr>
        <w:t>公司）。</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distribute"/>
        <w:textAlignment w:val="auto"/>
        <w:outlineLvl w:val="9"/>
        <w:rPr>
          <w:rFonts w:hint="eastAsia" w:ascii="Times New Roman" w:hAnsi="Times New Roman" w:eastAsia="仿宋_GB2312" w:cs="仿宋_GB2312"/>
          <w:spacing w:val="-4"/>
          <w:sz w:val="32"/>
          <w:szCs w:val="32"/>
          <w:lang w:val="en-US" w:eastAsia="zh-CN"/>
        </w:rPr>
        <w:sectPr>
          <w:pgSz w:w="11906" w:h="16838"/>
          <w:pgMar w:top="1928" w:right="1474" w:bottom="1928" w:left="1587" w:header="851" w:footer="1134" w:gutter="0"/>
          <w:pgNumType w:fmt="decimal" w:start="2"/>
          <w:cols w:space="720" w:num="1"/>
          <w:rtlGutter w:val="0"/>
          <w:docGrid w:type="lines" w:linePitch="312" w:charSpace="0"/>
        </w:sectPr>
      </w:pPr>
      <w:r>
        <w:rPr>
          <w:rFonts w:hint="eastAsia" w:ascii="Times New Roman" w:hAnsi="Times New Roman" w:eastAsia="仿宋_GB2312" w:cs="仿宋_GB2312"/>
          <w:b/>
          <w:bCs/>
          <w:spacing w:val="-4"/>
          <w:sz w:val="32"/>
          <w:szCs w:val="32"/>
          <w:lang w:val="en-US" w:eastAsia="zh-CN"/>
        </w:rPr>
        <w:t>2.项目立项、资金申报依据。</w:t>
      </w:r>
      <w:r>
        <w:rPr>
          <w:rFonts w:hint="eastAsia" w:ascii="Times New Roman" w:hAnsi="Times New Roman" w:eastAsia="仿宋_GB2312" w:cs="仿宋_GB2312"/>
          <w:spacing w:val="-4"/>
          <w:sz w:val="32"/>
          <w:szCs w:val="32"/>
          <w:lang w:eastAsia="zh-CN"/>
        </w:rPr>
        <w:t>《</w:t>
      </w:r>
      <w:r>
        <w:rPr>
          <w:rFonts w:hint="eastAsia" w:ascii="Times New Roman" w:hAnsi="Times New Roman" w:eastAsia="仿宋_GB2312" w:cs="仿宋_GB2312"/>
          <w:spacing w:val="-4"/>
          <w:sz w:val="32"/>
          <w:szCs w:val="32"/>
          <w:lang w:val="en-US" w:eastAsia="zh-CN"/>
        </w:rPr>
        <w:t>大英县规划委员会议事纪</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jc w:val="left"/>
        <w:textAlignment w:val="auto"/>
        <w:outlineLvl w:val="9"/>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要》（总第二十六期）</w:t>
      </w:r>
      <w:r>
        <w:rPr>
          <w:rFonts w:hint="eastAsia" w:ascii="Times New Roman" w:hAnsi="Times New Roman" w:eastAsia="仿宋_GB2312" w:cs="仿宋_GB2312"/>
          <w:color w:val="auto"/>
          <w:spacing w:val="-4"/>
          <w:sz w:val="32"/>
          <w:szCs w:val="32"/>
          <w:lang w:val="en-US" w:eastAsia="zh-CN"/>
        </w:rPr>
        <w:t>、</w:t>
      </w:r>
      <w:r>
        <w:rPr>
          <w:rFonts w:hint="eastAsia" w:ascii="Times New Roman" w:hAnsi="Times New Roman" w:eastAsia="仿宋_GB2312" w:cs="仿宋_GB2312"/>
          <w:color w:val="auto"/>
          <w:spacing w:val="-4"/>
          <w:sz w:val="32"/>
          <w:szCs w:val="32"/>
          <w:lang w:eastAsia="zh-CN"/>
        </w:rPr>
        <w:t>《</w:t>
      </w:r>
      <w:r>
        <w:rPr>
          <w:rFonts w:hint="eastAsia" w:ascii="Times New Roman" w:hAnsi="Times New Roman" w:eastAsia="仿宋_GB2312" w:cs="仿宋_GB2312"/>
          <w:spacing w:val="-4"/>
          <w:sz w:val="32"/>
          <w:szCs w:val="32"/>
          <w:lang w:eastAsia="zh-CN"/>
        </w:rPr>
        <w:t>县政府六届</w:t>
      </w:r>
      <w:r>
        <w:rPr>
          <w:rFonts w:hint="eastAsia" w:ascii="Times New Roman" w:hAnsi="Times New Roman" w:eastAsia="仿宋_GB2312" w:cs="仿宋_GB2312"/>
          <w:spacing w:val="-4"/>
          <w:sz w:val="32"/>
          <w:szCs w:val="32"/>
          <w:lang w:val="en-US" w:eastAsia="zh-CN"/>
        </w:rPr>
        <w:t>23次常务会议纪要》（总第二十三期）。</w:t>
      </w:r>
    </w:p>
    <w:p>
      <w:pPr>
        <w:keepNext w:val="0"/>
        <w:keepLines w:val="0"/>
        <w:pageBreakBefore w:val="0"/>
        <w:kinsoku/>
        <w:wordWrap/>
        <w:overflowPunct/>
        <w:topLinePunct w:val="0"/>
        <w:autoSpaceDE/>
        <w:autoSpaceDN/>
        <w:bidi w:val="0"/>
        <w:spacing w:after="0" w:line="590" w:lineRule="exact"/>
        <w:ind w:left="0" w:firstLine="627" w:firstLineChars="200"/>
        <w:jc w:val="both"/>
        <w:rPr>
          <w:rFonts w:hint="eastAsia" w:ascii="Times New Roman" w:hAnsi="Times New Roman" w:eastAsia="仿宋_GB2312" w:cs="仿宋_GB2312"/>
          <w:spacing w:val="-4"/>
          <w:sz w:val="32"/>
          <w:szCs w:val="32"/>
        </w:rPr>
      </w:pPr>
      <w:r>
        <w:rPr>
          <w:rFonts w:hint="eastAsia" w:ascii="Times New Roman" w:hAnsi="Times New Roman" w:eastAsia="仿宋_GB2312" w:cs="仿宋_GB2312"/>
          <w:b/>
          <w:bCs/>
          <w:spacing w:val="-4"/>
          <w:sz w:val="32"/>
          <w:szCs w:val="32"/>
          <w:lang w:val="en-US" w:eastAsia="zh-CN"/>
        </w:rPr>
        <w:t>3.资金管理办法制定情况，资金支持具体项目的条件、范围与支持方式概况。</w:t>
      </w:r>
      <w:r>
        <w:rPr>
          <w:rFonts w:hint="eastAsia" w:ascii="Times New Roman" w:hAnsi="Times New Roman" w:eastAsia="仿宋_GB2312" w:cs="仿宋_GB2312"/>
          <w:spacing w:val="-4"/>
          <w:sz w:val="32"/>
          <w:szCs w:val="32"/>
          <w:lang w:val="en-US" w:eastAsia="zh-CN"/>
        </w:rPr>
        <w:t>根据</w:t>
      </w:r>
      <w:r>
        <w:rPr>
          <w:rFonts w:hint="eastAsia" w:ascii="Times New Roman" w:hAnsi="Times New Roman" w:eastAsia="仿宋_GB2312" w:cs="仿宋_GB2312"/>
          <w:color w:val="auto"/>
          <w:spacing w:val="-4"/>
          <w:sz w:val="32"/>
          <w:szCs w:val="32"/>
          <w:lang w:val="en-US" w:eastAsia="zh-CN"/>
        </w:rPr>
        <w:t>2011年2月10日</w:t>
      </w:r>
      <w:r>
        <w:rPr>
          <w:rFonts w:hint="eastAsia" w:ascii="Times New Roman" w:hAnsi="Times New Roman" w:eastAsia="仿宋_GB2312" w:cs="仿宋_GB2312"/>
          <w:color w:val="auto"/>
          <w:spacing w:val="-4"/>
          <w:sz w:val="32"/>
          <w:szCs w:val="32"/>
          <w:lang w:eastAsia="zh-CN"/>
        </w:rPr>
        <w:t>《大英</w:t>
      </w:r>
      <w:r>
        <w:rPr>
          <w:rFonts w:hint="eastAsia" w:ascii="Times New Roman" w:hAnsi="Times New Roman" w:eastAsia="仿宋_GB2312" w:cs="仿宋_GB2312"/>
          <w:color w:val="auto"/>
          <w:spacing w:val="-4"/>
          <w:sz w:val="32"/>
          <w:szCs w:val="32"/>
        </w:rPr>
        <w:t>县</w:t>
      </w:r>
      <w:r>
        <w:rPr>
          <w:rFonts w:hint="eastAsia" w:ascii="Times New Roman" w:hAnsi="Times New Roman" w:eastAsia="仿宋_GB2312" w:cs="仿宋_GB2312"/>
          <w:color w:val="auto"/>
          <w:spacing w:val="-4"/>
          <w:sz w:val="32"/>
          <w:szCs w:val="32"/>
          <w:lang w:eastAsia="zh-CN"/>
        </w:rPr>
        <w:t>规划委员会议事</w:t>
      </w:r>
      <w:r>
        <w:rPr>
          <w:rFonts w:hint="eastAsia" w:ascii="Times New Roman" w:hAnsi="Times New Roman" w:eastAsia="仿宋_GB2312" w:cs="仿宋_GB2312"/>
          <w:color w:val="auto"/>
          <w:spacing w:val="-4"/>
          <w:sz w:val="32"/>
          <w:szCs w:val="32"/>
          <w:lang w:val="en-US" w:eastAsia="zh-CN"/>
        </w:rPr>
        <w:t>纪</w:t>
      </w:r>
      <w:r>
        <w:rPr>
          <w:rFonts w:hint="eastAsia" w:ascii="Times New Roman" w:hAnsi="Times New Roman" w:eastAsia="仿宋_GB2312" w:cs="仿宋_GB2312"/>
          <w:color w:val="auto"/>
          <w:spacing w:val="-4"/>
          <w:sz w:val="32"/>
          <w:szCs w:val="32"/>
          <w:lang w:eastAsia="zh-CN"/>
        </w:rPr>
        <w:t>要》</w:t>
      </w:r>
      <w:r>
        <w:rPr>
          <w:rFonts w:hint="eastAsia" w:ascii="Times New Roman" w:hAnsi="Times New Roman" w:eastAsia="仿宋_GB2312" w:cs="仿宋_GB2312"/>
          <w:color w:val="auto"/>
          <w:spacing w:val="-4"/>
          <w:sz w:val="32"/>
          <w:szCs w:val="32"/>
          <w:lang w:val="en-US" w:eastAsia="zh-CN"/>
        </w:rPr>
        <w:t>（总第二十六期）“业主必须对原金阳市场进行提档升级，建成星级农贸市场，验收合格后，才能进行房地产开发。市场成本费用审核确认后，县政府补助30%”</w:t>
      </w:r>
      <w:r>
        <w:rPr>
          <w:rFonts w:hint="eastAsia" w:ascii="Times New Roman" w:hAnsi="Times New Roman" w:eastAsia="仿宋_GB2312" w:cs="仿宋_GB2312"/>
          <w:spacing w:val="-4"/>
          <w:sz w:val="32"/>
          <w:szCs w:val="32"/>
        </w:rPr>
        <w:t>。</w:t>
      </w:r>
    </w:p>
    <w:p>
      <w:pPr>
        <w:keepNext w:val="0"/>
        <w:keepLines w:val="0"/>
        <w:pageBreakBefore w:val="0"/>
        <w:kinsoku/>
        <w:wordWrap/>
        <w:overflowPunct/>
        <w:topLinePunct w:val="0"/>
        <w:autoSpaceDE/>
        <w:autoSpaceDN/>
        <w:bidi w:val="0"/>
        <w:spacing w:after="0" w:line="590" w:lineRule="exact"/>
        <w:ind w:left="0" w:firstLine="627" w:firstLineChars="200"/>
        <w:jc w:val="both"/>
        <w:rPr>
          <w:rFonts w:hint="eastAsia" w:ascii="Times New Roman" w:hAnsi="Times New Roman" w:eastAsia="仿宋_GB2312" w:cs="仿宋_GB2312"/>
          <w:b/>
          <w:bCs/>
          <w:spacing w:val="-4"/>
          <w:sz w:val="32"/>
          <w:szCs w:val="32"/>
          <w:lang w:val="en-US" w:eastAsia="zh-CN"/>
        </w:rPr>
      </w:pPr>
      <w:r>
        <w:rPr>
          <w:rFonts w:hint="eastAsia" w:ascii="Times New Roman" w:hAnsi="Times New Roman" w:eastAsia="仿宋_GB2312" w:cs="仿宋_GB2312"/>
          <w:b/>
          <w:bCs/>
          <w:spacing w:val="-4"/>
          <w:sz w:val="32"/>
          <w:szCs w:val="32"/>
          <w:lang w:val="en-US" w:eastAsia="zh-CN"/>
        </w:rPr>
        <w:t>4.资金分配的原则及考虑因素。</w:t>
      </w:r>
      <w:r>
        <w:rPr>
          <w:rFonts w:hint="eastAsia" w:ascii="Times New Roman" w:hAnsi="Times New Roman" w:eastAsia="仿宋_GB2312" w:cs="仿宋_GB2312"/>
          <w:spacing w:val="-4"/>
          <w:sz w:val="32"/>
          <w:szCs w:val="32"/>
          <w:lang w:val="en-US" w:eastAsia="zh-CN"/>
        </w:rPr>
        <w:t>资金分配按照规范性、合理性、及时性原则使用。</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bCs/>
          <w:spacing w:val="-4"/>
          <w:sz w:val="32"/>
          <w:szCs w:val="32"/>
          <w:lang w:val="en-US" w:eastAsia="zh-CN"/>
        </w:rPr>
      </w:pPr>
      <w:r>
        <w:rPr>
          <w:rFonts w:hint="eastAsia" w:ascii="Times New Roman" w:hAnsi="Times New Roman" w:eastAsia="楷体_GB2312" w:cs="楷体_GB2312"/>
          <w:b/>
          <w:bCs/>
          <w:spacing w:val="-4"/>
          <w:sz w:val="32"/>
          <w:szCs w:val="32"/>
          <w:lang w:val="en-US" w:eastAsia="zh-CN"/>
        </w:rPr>
        <w:t>（二）实施情况</w:t>
      </w:r>
    </w:p>
    <w:p>
      <w:pPr>
        <w:keepNext w:val="0"/>
        <w:keepLines w:val="0"/>
        <w:pageBreakBefore w:val="0"/>
        <w:kinsoku/>
        <w:wordWrap/>
        <w:overflowPunct/>
        <w:topLinePunct w:val="0"/>
        <w:autoSpaceDE/>
        <w:autoSpaceDN/>
        <w:bidi w:val="0"/>
        <w:spacing w:after="0" w:line="590" w:lineRule="exact"/>
        <w:ind w:left="0" w:firstLine="624" w:firstLineChars="200"/>
        <w:jc w:val="both"/>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spacing w:val="-4"/>
          <w:sz w:val="32"/>
          <w:szCs w:val="32"/>
          <w:lang w:val="en-US" w:eastAsia="zh-CN"/>
        </w:rPr>
        <w:t>通过本项目的实施，增加</w:t>
      </w:r>
      <w:r>
        <w:rPr>
          <w:rFonts w:hint="eastAsia" w:ascii="Times New Roman" w:hAnsi="Times New Roman" w:eastAsia="仿宋_GB2312" w:cs="仿宋_GB2312"/>
          <w:color w:val="000000" w:themeColor="text1"/>
          <w:spacing w:val="-4"/>
          <w:sz w:val="32"/>
          <w:szCs w:val="32"/>
          <w:lang w:val="en-US" w:eastAsia="zh-CN"/>
          <w14:textFill>
            <w14:solidFill>
              <w14:schemeClr w14:val="tx1"/>
            </w14:solidFill>
          </w14:textFill>
        </w:rPr>
        <w:t>综合农贸市场面积3943.66平方米、农贸市场摊位282个、厕所51平方米、室外停车区381平方米、就业人员26人，年营业额达131余万元。</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firstLine="627" w:firstLineChars="200"/>
        <w:jc w:val="left"/>
        <w:textAlignment w:val="auto"/>
        <w:outlineLvl w:val="9"/>
        <w:rPr>
          <w:rFonts w:hint="eastAsia" w:ascii="Times New Roman" w:hAnsi="Times New Roman"/>
          <w:b/>
          <w:bCs/>
          <w:spacing w:val="-4"/>
          <w:sz w:val="32"/>
          <w:szCs w:val="32"/>
          <w:lang w:val="en-US" w:eastAsia="zh-CN"/>
        </w:rPr>
      </w:pPr>
      <w:r>
        <w:rPr>
          <w:rFonts w:hint="eastAsia" w:ascii="Times New Roman" w:hAnsi="Times New Roman" w:eastAsia="楷体_GB2312" w:cs="楷体_GB2312"/>
          <w:b/>
          <w:bCs/>
          <w:spacing w:val="-4"/>
          <w:sz w:val="32"/>
          <w:szCs w:val="32"/>
          <w:lang w:val="en-US" w:eastAsia="zh-CN"/>
        </w:rPr>
        <w:t>（三）资金投入使用情况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4" w:firstLineChars="200"/>
        <w:jc w:val="left"/>
        <w:textAlignment w:val="auto"/>
        <w:outlineLvl w:val="9"/>
        <w:rPr>
          <w:rFonts w:hint="default" w:ascii="Times New Roman" w:hAnsi="Times New Roman"/>
          <w:spacing w:val="-4"/>
          <w:sz w:val="32"/>
          <w:szCs w:val="32"/>
          <w:lang w:val="en-US" w:eastAsia="zh-CN"/>
        </w:rPr>
      </w:pPr>
      <w:r>
        <w:rPr>
          <w:rFonts w:hint="eastAsia" w:ascii="Times New Roman" w:hAnsi="Times New Roman" w:eastAsia="仿宋_GB2312" w:cs="仿宋_GB2312"/>
          <w:spacing w:val="-4"/>
          <w:sz w:val="32"/>
          <w:szCs w:val="32"/>
          <w:lang w:val="en-US" w:eastAsia="zh-CN"/>
        </w:rPr>
        <w:t>2023年度县商务经合局申报该项目经费1324875.5元，县财政批复1324875.5元，年内使用1324875.5元。项目经费支出合法合规，资金执行率100%。</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after="157" w:afterLines="50" w:line="590" w:lineRule="exact"/>
        <w:ind w:firstLine="627" w:firstLineChars="200"/>
        <w:jc w:val="left"/>
        <w:textAlignment w:val="auto"/>
        <w:outlineLvl w:val="9"/>
        <w:rPr>
          <w:rFonts w:hint="eastAsia" w:ascii="Times New Roman" w:hAnsi="Times New Roman" w:eastAsia="楷体_GB2312" w:cs="楷体_GB2312"/>
          <w:b/>
          <w:bCs/>
          <w:spacing w:val="-4"/>
          <w:sz w:val="32"/>
          <w:szCs w:val="32"/>
          <w:lang w:val="en-US" w:eastAsia="zh-CN"/>
        </w:rPr>
      </w:pPr>
      <w:r>
        <w:rPr>
          <w:rFonts w:hint="eastAsia" w:ascii="Times New Roman" w:hAnsi="Times New Roman" w:eastAsia="楷体_GB2312" w:cs="楷体_GB2312"/>
          <w:b/>
          <w:bCs/>
          <w:spacing w:val="-4"/>
          <w:sz w:val="32"/>
          <w:szCs w:val="32"/>
          <w:lang w:val="en-US" w:eastAsia="zh-CN"/>
        </w:rPr>
        <w:t>（四）项目绩效目标</w:t>
      </w:r>
    </w:p>
    <w:tbl>
      <w:tblPr>
        <w:tblStyle w:val="11"/>
        <w:tblW w:w="9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434"/>
        <w:gridCol w:w="2041"/>
        <w:gridCol w:w="2891"/>
        <w:gridCol w:w="1361"/>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624" w:type="dxa"/>
            <w:vMerge w:val="restart"/>
            <w:vAlign w:val="center"/>
          </w:tcPr>
          <w:p>
            <w:pPr>
              <w:keepNext w:val="0"/>
              <w:keepLines w:val="0"/>
              <w:pageBreakBefore w:val="0"/>
              <w:kinsoku/>
              <w:wordWrap/>
              <w:overflowPunct/>
              <w:topLinePunct w:val="0"/>
              <w:autoSpaceDE/>
              <w:autoSpaceDN/>
              <w:bidi w:val="0"/>
              <w:adjustRightInd/>
              <w:spacing w:line="390" w:lineRule="exact"/>
              <w:ind w:left="0"/>
              <w:jc w:val="center"/>
              <w:textAlignment w:val="auto"/>
              <w:rPr>
                <w:rFonts w:hint="default" w:ascii="Times New Roman" w:hAnsi="Times New Roman" w:eastAsia="仿宋_GB2312" w:cs="Times New Roman"/>
                <w:b/>
                <w:bCs/>
                <w:spacing w:val="-4"/>
                <w:sz w:val="21"/>
                <w:szCs w:val="21"/>
                <w:lang w:val="en-US" w:eastAsia="zh-CN"/>
              </w:rPr>
            </w:pPr>
            <w:r>
              <w:rPr>
                <w:rFonts w:hint="default" w:ascii="Times New Roman" w:hAnsi="Times New Roman" w:eastAsia="仿宋_GB2312" w:cs="Times New Roman"/>
                <w:b/>
                <w:bCs/>
                <w:spacing w:val="-4"/>
                <w:sz w:val="21"/>
                <w:szCs w:val="21"/>
                <w:lang w:val="en-US" w:eastAsia="zh-CN"/>
              </w:rPr>
              <w:t>绩效</w:t>
            </w:r>
          </w:p>
          <w:p>
            <w:pPr>
              <w:keepNext w:val="0"/>
              <w:keepLines w:val="0"/>
              <w:pageBreakBefore w:val="0"/>
              <w:kinsoku/>
              <w:wordWrap/>
              <w:overflowPunct/>
              <w:topLinePunct w:val="0"/>
              <w:autoSpaceDE/>
              <w:autoSpaceDN/>
              <w:bidi w:val="0"/>
              <w:adjustRightInd/>
              <w:spacing w:line="390" w:lineRule="exact"/>
              <w:ind w:left="0"/>
              <w:jc w:val="center"/>
              <w:textAlignment w:val="auto"/>
              <w:rPr>
                <w:rFonts w:hint="default" w:ascii="Times New Roman" w:hAnsi="Times New Roman" w:eastAsia="仿宋_GB2312" w:cs="Times New Roman"/>
                <w:b/>
                <w:bCs/>
                <w:spacing w:val="-4"/>
                <w:sz w:val="21"/>
                <w:szCs w:val="21"/>
                <w:vertAlign w:val="baseline"/>
                <w:lang w:val="en-US" w:eastAsia="zh-CN"/>
              </w:rPr>
            </w:pPr>
            <w:r>
              <w:rPr>
                <w:rFonts w:hint="default" w:ascii="Times New Roman" w:hAnsi="Times New Roman" w:eastAsia="仿宋_GB2312" w:cs="Times New Roman"/>
                <w:b/>
                <w:bCs/>
                <w:spacing w:val="-4"/>
                <w:sz w:val="21"/>
                <w:szCs w:val="21"/>
                <w:lang w:val="en-US" w:eastAsia="zh-CN"/>
              </w:rPr>
              <w:t>指标</w:t>
            </w:r>
          </w:p>
        </w:tc>
        <w:tc>
          <w:tcPr>
            <w:tcW w:w="1434"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bCs/>
                <w:spacing w:val="-4"/>
                <w:sz w:val="21"/>
                <w:szCs w:val="21"/>
                <w:vertAlign w:val="baseline"/>
                <w:lang w:val="en-US" w:eastAsia="zh-CN"/>
              </w:rPr>
            </w:pPr>
            <w:r>
              <w:rPr>
                <w:rFonts w:hint="default" w:ascii="Times New Roman" w:hAnsi="Times New Roman" w:eastAsia="仿宋_GB2312" w:cs="Times New Roman"/>
                <w:b/>
                <w:bCs/>
                <w:spacing w:val="-4"/>
                <w:sz w:val="21"/>
                <w:szCs w:val="21"/>
                <w:lang w:val="en-US" w:eastAsia="zh-CN"/>
              </w:rPr>
              <w:t>一级指标</w:t>
            </w:r>
          </w:p>
        </w:tc>
        <w:tc>
          <w:tcPr>
            <w:tcW w:w="204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bCs/>
                <w:spacing w:val="-4"/>
                <w:sz w:val="21"/>
                <w:szCs w:val="21"/>
                <w:vertAlign w:val="baseline"/>
                <w:lang w:val="en-US" w:eastAsia="zh-CN"/>
              </w:rPr>
            </w:pPr>
            <w:r>
              <w:rPr>
                <w:rFonts w:hint="default" w:ascii="Times New Roman" w:hAnsi="Times New Roman" w:eastAsia="仿宋_GB2312" w:cs="Times New Roman"/>
                <w:b/>
                <w:bCs/>
                <w:spacing w:val="-4"/>
                <w:sz w:val="21"/>
                <w:szCs w:val="21"/>
                <w:lang w:val="en-US" w:eastAsia="zh-CN"/>
              </w:rPr>
              <w:t>二级指标</w:t>
            </w:r>
          </w:p>
        </w:tc>
        <w:tc>
          <w:tcPr>
            <w:tcW w:w="289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bCs/>
                <w:spacing w:val="-4"/>
                <w:sz w:val="21"/>
                <w:szCs w:val="21"/>
                <w:vertAlign w:val="baseline"/>
                <w:lang w:val="en-US" w:eastAsia="zh-CN"/>
              </w:rPr>
            </w:pPr>
            <w:r>
              <w:rPr>
                <w:rFonts w:hint="default" w:ascii="Times New Roman" w:hAnsi="Times New Roman" w:eastAsia="仿宋_GB2312" w:cs="Times New Roman"/>
                <w:b/>
                <w:bCs/>
                <w:spacing w:val="-4"/>
                <w:sz w:val="21"/>
                <w:szCs w:val="21"/>
                <w:lang w:val="en-US" w:eastAsia="zh-CN"/>
              </w:rPr>
              <w:t>三级指标</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bCs/>
                <w:spacing w:val="-4"/>
                <w:sz w:val="21"/>
                <w:szCs w:val="21"/>
                <w:vertAlign w:val="baseline"/>
                <w:lang w:val="en-US" w:eastAsia="zh-CN"/>
              </w:rPr>
            </w:pPr>
            <w:r>
              <w:rPr>
                <w:rFonts w:hint="default" w:ascii="Times New Roman" w:hAnsi="Times New Roman" w:eastAsia="仿宋_GB2312" w:cs="Times New Roman"/>
                <w:b/>
                <w:bCs/>
                <w:spacing w:val="-4"/>
                <w:sz w:val="21"/>
                <w:szCs w:val="21"/>
                <w:lang w:val="en-US" w:eastAsia="zh-CN"/>
              </w:rPr>
              <w:t>指标值</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bCs/>
                <w:spacing w:val="-4"/>
                <w:sz w:val="21"/>
                <w:szCs w:val="21"/>
                <w:lang w:val="en-US" w:eastAsia="zh-CN"/>
              </w:rPr>
            </w:pPr>
            <w:r>
              <w:rPr>
                <w:rFonts w:hint="default" w:ascii="Times New Roman" w:hAnsi="Times New Roman" w:eastAsia="仿宋_GB2312" w:cs="Times New Roman"/>
                <w:b/>
                <w:bCs/>
                <w:spacing w:val="-4"/>
                <w:sz w:val="21"/>
                <w:szCs w:val="21"/>
                <w:lang w:val="en-US" w:eastAsia="zh-CN"/>
              </w:rPr>
              <w:t>实施进度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624" w:type="dxa"/>
            <w:vMerge w:val="continue"/>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cs="Times New Roman"/>
                <w:b/>
                <w:bCs/>
                <w:spacing w:val="-4"/>
                <w:sz w:val="21"/>
                <w:szCs w:val="21"/>
                <w:vertAlign w:val="baseline"/>
                <w:lang w:val="en-US" w:eastAsia="zh-CN"/>
              </w:rPr>
            </w:pPr>
          </w:p>
        </w:tc>
        <w:tc>
          <w:tcPr>
            <w:tcW w:w="1434"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产出指标</w:t>
            </w:r>
          </w:p>
        </w:tc>
        <w:tc>
          <w:tcPr>
            <w:tcW w:w="204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lang w:val="en-US" w:eastAsia="zh-CN"/>
              </w:rPr>
              <w:t>时效指标</w:t>
            </w:r>
          </w:p>
        </w:tc>
        <w:tc>
          <w:tcPr>
            <w:tcW w:w="289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color w:val="000000" w:themeColor="text1"/>
                <w:spacing w:val="-4"/>
                <w:sz w:val="21"/>
                <w:szCs w:val="21"/>
                <w:lang w:val="en-US" w:eastAsia="zh-CN"/>
                <w14:textFill>
                  <w14:solidFill>
                    <w14:schemeClr w14:val="tx1"/>
                  </w14:solidFill>
                </w14:textFill>
              </w:rPr>
              <w:t>补助资金发放及时率</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624" w:type="dxa"/>
            <w:vMerge w:val="continue"/>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cs="Times New Roman"/>
                <w:b/>
                <w:bCs/>
                <w:spacing w:val="-4"/>
                <w:sz w:val="21"/>
                <w:szCs w:val="21"/>
                <w:vertAlign w:val="baseline"/>
                <w:lang w:val="en-US" w:eastAsia="zh-CN"/>
              </w:rPr>
            </w:pPr>
          </w:p>
        </w:tc>
        <w:tc>
          <w:tcPr>
            <w:tcW w:w="1434"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产出指标</w:t>
            </w:r>
          </w:p>
        </w:tc>
        <w:tc>
          <w:tcPr>
            <w:tcW w:w="204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lang w:val="en-US" w:eastAsia="zh-CN"/>
              </w:rPr>
              <w:t>质量指标</w:t>
            </w:r>
          </w:p>
        </w:tc>
        <w:tc>
          <w:tcPr>
            <w:tcW w:w="289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达到星级农贸市场标准评分</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≥206</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624" w:type="dxa"/>
            <w:vMerge w:val="continue"/>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cs="Times New Roman"/>
                <w:b/>
                <w:bCs/>
                <w:spacing w:val="-4"/>
                <w:sz w:val="21"/>
                <w:szCs w:val="21"/>
                <w:vertAlign w:val="baseline"/>
                <w:lang w:val="en-US" w:eastAsia="zh-CN"/>
              </w:rPr>
            </w:pPr>
          </w:p>
        </w:tc>
        <w:tc>
          <w:tcPr>
            <w:tcW w:w="1434"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产出指标</w:t>
            </w:r>
          </w:p>
        </w:tc>
        <w:tc>
          <w:tcPr>
            <w:tcW w:w="204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lang w:val="en-US" w:eastAsia="zh-CN"/>
              </w:rPr>
              <w:t>数量指标</w:t>
            </w:r>
          </w:p>
        </w:tc>
        <w:tc>
          <w:tcPr>
            <w:tcW w:w="289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补助金阳市场企业</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624" w:type="dxa"/>
            <w:vMerge w:val="continue"/>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cs="Times New Roman"/>
                <w:b/>
                <w:bCs/>
                <w:spacing w:val="-4"/>
                <w:sz w:val="21"/>
                <w:szCs w:val="21"/>
                <w:vertAlign w:val="baseline"/>
                <w:lang w:val="en-US" w:eastAsia="zh-CN"/>
              </w:rPr>
            </w:pPr>
          </w:p>
        </w:tc>
        <w:tc>
          <w:tcPr>
            <w:tcW w:w="1434"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效益指标</w:t>
            </w:r>
          </w:p>
        </w:tc>
        <w:tc>
          <w:tcPr>
            <w:tcW w:w="204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社会效益指标</w:t>
            </w:r>
          </w:p>
        </w:tc>
        <w:tc>
          <w:tcPr>
            <w:tcW w:w="289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补助金阳市场企业应发尽发率</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624" w:type="dxa"/>
            <w:vMerge w:val="continue"/>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cs="Times New Roman"/>
                <w:b/>
                <w:bCs/>
                <w:spacing w:val="-4"/>
                <w:sz w:val="21"/>
                <w:szCs w:val="21"/>
                <w:vertAlign w:val="baseline"/>
                <w:lang w:val="en-US" w:eastAsia="zh-CN"/>
              </w:rPr>
            </w:pPr>
          </w:p>
        </w:tc>
        <w:tc>
          <w:tcPr>
            <w:tcW w:w="1434"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满意度指标</w:t>
            </w:r>
          </w:p>
        </w:tc>
        <w:tc>
          <w:tcPr>
            <w:tcW w:w="204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服务对象满意度指标</w:t>
            </w:r>
          </w:p>
        </w:tc>
        <w:tc>
          <w:tcPr>
            <w:tcW w:w="289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服务</w:t>
            </w:r>
            <w:bookmarkStart w:id="0" w:name="_GoBack"/>
            <w:bookmarkEnd w:id="0"/>
            <w:r>
              <w:rPr>
                <w:rFonts w:hint="default" w:ascii="Times New Roman" w:hAnsi="Times New Roman" w:eastAsia="仿宋_GB2312" w:cs="Times New Roman"/>
                <w:b w:val="0"/>
                <w:bCs w:val="0"/>
                <w:spacing w:val="-4"/>
                <w:sz w:val="21"/>
                <w:szCs w:val="21"/>
                <w:vertAlign w:val="baseline"/>
                <w:lang w:val="en-US" w:eastAsia="zh-CN"/>
              </w:rPr>
              <w:t>对象满意度</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≥98%</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已完成100%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624" w:type="dxa"/>
            <w:vMerge w:val="continue"/>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cs="Times New Roman"/>
                <w:b/>
                <w:bCs/>
                <w:spacing w:val="-4"/>
                <w:sz w:val="21"/>
                <w:szCs w:val="21"/>
                <w:vertAlign w:val="baseline"/>
                <w:lang w:val="en-US" w:eastAsia="zh-CN"/>
              </w:rPr>
            </w:pPr>
          </w:p>
        </w:tc>
        <w:tc>
          <w:tcPr>
            <w:tcW w:w="1434"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成本指标</w:t>
            </w:r>
          </w:p>
        </w:tc>
        <w:tc>
          <w:tcPr>
            <w:tcW w:w="204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经济成本指标</w:t>
            </w:r>
          </w:p>
        </w:tc>
        <w:tc>
          <w:tcPr>
            <w:tcW w:w="289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both"/>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补助资金拨付成本控制数</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w:t>
            </w:r>
            <w:r>
              <w:rPr>
                <w:rFonts w:hint="default" w:ascii="Times New Roman" w:hAnsi="Times New Roman" w:eastAsia="仿宋_GB2312" w:cs="Times New Roman"/>
                <w:spacing w:val="-4"/>
                <w:sz w:val="21"/>
                <w:szCs w:val="21"/>
                <w:lang w:val="en-US" w:eastAsia="zh-CN"/>
              </w:rPr>
              <w:t>1324875.5</w:t>
            </w:r>
          </w:p>
        </w:tc>
        <w:tc>
          <w:tcPr>
            <w:tcW w:w="1361" w:type="dxa"/>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已完成100%</w:t>
            </w:r>
          </w:p>
        </w:tc>
      </w:tr>
    </w:tbl>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before="157" w:beforeLines="50" w:line="590" w:lineRule="exact"/>
        <w:ind w:firstLine="624" w:firstLineChars="200"/>
        <w:jc w:val="left"/>
        <w:textAlignment w:val="auto"/>
        <w:outlineLvl w:val="9"/>
        <w:rPr>
          <w:rFonts w:hint="eastAsia" w:ascii="Times New Roman" w:hAnsi="Times New Roman" w:eastAsia="仿宋_GB2312"/>
          <w:spacing w:val="-4"/>
          <w:sz w:val="32"/>
          <w:szCs w:val="32"/>
          <w:lang w:eastAsia="zh-CN"/>
        </w:rPr>
      </w:pPr>
      <w:r>
        <w:rPr>
          <w:rFonts w:hint="eastAsia" w:ascii="Times New Roman" w:hAnsi="Times New Roman" w:eastAsia="黑体" w:cs="黑体"/>
          <w:spacing w:val="-4"/>
          <w:sz w:val="32"/>
          <w:szCs w:val="32"/>
          <w:lang w:eastAsia="zh-CN"/>
        </w:rPr>
        <w:t>二、评价工作开展情况</w:t>
      </w:r>
    </w:p>
    <w:p>
      <w:pPr>
        <w:keepNext w:val="0"/>
        <w:keepLines w:val="0"/>
        <w:pageBreakBefore w:val="0"/>
        <w:widowControl w:val="0"/>
        <w:kinsoku/>
        <w:wordWrap/>
        <w:overflowPunct/>
        <w:topLinePunct w:val="0"/>
        <w:autoSpaceDE/>
        <w:autoSpaceDN/>
        <w:bidi w:val="0"/>
        <w:adjustRightInd/>
        <w:snapToGrid w:val="0"/>
        <w:spacing w:line="590" w:lineRule="exact"/>
        <w:ind w:left="0" w:firstLine="627" w:firstLineChars="200"/>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（一）评价组织情况</w:t>
      </w:r>
    </w:p>
    <w:p>
      <w:pPr>
        <w:keepNext w:val="0"/>
        <w:keepLines w:val="0"/>
        <w:pageBreakBefore w:val="0"/>
        <w:widowControl w:val="0"/>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cs="仿宋_GB2312"/>
          <w:spacing w:val="-4"/>
          <w:sz w:val="32"/>
          <w:szCs w:val="32"/>
          <w:lang w:eastAsia="zh-CN"/>
        </w:rPr>
      </w:pPr>
      <w:r>
        <w:rPr>
          <w:rFonts w:hint="eastAsia" w:ascii="Times New Roman" w:hAnsi="Times New Roman" w:eastAsia="仿宋_GB2312" w:cs="仿宋_GB2312"/>
          <w:spacing w:val="-4"/>
          <w:sz w:val="32"/>
          <w:szCs w:val="32"/>
          <w:lang w:eastAsia="zh-CN"/>
        </w:rPr>
        <w:t>本项目评价工作由流通产业发展股通过相关资料、数据核实，并结合评价指标，对项目整体实施情况、实施结果、项目资金支出等情况进行评价。</w:t>
      </w:r>
    </w:p>
    <w:p>
      <w:pPr>
        <w:keepNext w:val="0"/>
        <w:keepLines w:val="0"/>
        <w:pageBreakBefore w:val="0"/>
        <w:widowControl w:val="0"/>
        <w:kinsoku/>
        <w:wordWrap/>
        <w:overflowPunct/>
        <w:topLinePunct w:val="0"/>
        <w:autoSpaceDE/>
        <w:autoSpaceDN/>
        <w:bidi w:val="0"/>
        <w:adjustRightInd/>
        <w:snapToGrid w:val="0"/>
        <w:spacing w:line="590" w:lineRule="exact"/>
        <w:ind w:left="0" w:firstLine="627" w:firstLineChars="200"/>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（二）评价指标体系</w:t>
      </w:r>
    </w:p>
    <w:p>
      <w:pPr>
        <w:keepNext w:val="0"/>
        <w:keepLines w:val="0"/>
        <w:pageBreakBefore w:val="0"/>
        <w:widowControl w:val="0"/>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eastAsia="仿宋_GB2312" w:cs="仿宋_GB2312"/>
          <w:spacing w:val="-4"/>
          <w:sz w:val="32"/>
          <w:szCs w:val="32"/>
          <w:lang w:eastAsia="zh-CN"/>
        </w:rPr>
      </w:pPr>
      <w:r>
        <w:rPr>
          <w:rFonts w:hint="eastAsia" w:ascii="Times New Roman" w:hAnsi="Times New Roman" w:eastAsia="仿宋_GB2312" w:cs="仿宋_GB2312"/>
          <w:spacing w:val="-4"/>
          <w:sz w:val="32"/>
          <w:szCs w:val="32"/>
          <w:lang w:eastAsia="zh-CN"/>
        </w:rPr>
        <w:t>本次项目支出绩效评价，按照《大英县财政局关于开展</w:t>
      </w:r>
      <w:r>
        <w:rPr>
          <w:rFonts w:hint="eastAsia" w:ascii="Times New Roman" w:hAnsi="Times New Roman" w:eastAsia="仿宋_GB2312" w:cs="仿宋_GB2312"/>
          <w:spacing w:val="-4"/>
          <w:sz w:val="32"/>
          <w:szCs w:val="32"/>
          <w:lang w:val="en-US" w:eastAsia="zh-CN"/>
        </w:rPr>
        <w:t>2024年度部门、项目、政策支出绩效自评工作的通知</w:t>
      </w:r>
      <w:r>
        <w:rPr>
          <w:rFonts w:hint="eastAsia" w:ascii="Times New Roman" w:hAnsi="Times New Roman" w:eastAsia="仿宋_GB2312" w:cs="仿宋_GB2312"/>
          <w:spacing w:val="-4"/>
          <w:sz w:val="32"/>
          <w:szCs w:val="32"/>
          <w:lang w:eastAsia="zh-CN"/>
        </w:rPr>
        <w:t>》（大财发</w:t>
      </w:r>
      <w:r>
        <w:rPr>
          <w:rFonts w:hint="eastAsia" w:ascii="Times New Roman" w:hAnsi="Times New Roman" w:eastAsia="仿宋_GB2312" w:cs="仿宋_GB2312"/>
          <w:spacing w:val="-4"/>
          <w:sz w:val="32"/>
          <w:szCs w:val="32"/>
          <w:lang w:val="en-US" w:eastAsia="zh-CN"/>
        </w:rPr>
        <w:t>〔2024〕87号</w:t>
      </w:r>
      <w:r>
        <w:rPr>
          <w:rFonts w:hint="eastAsia" w:ascii="Times New Roman" w:hAnsi="Times New Roman" w:eastAsia="仿宋_GB2312" w:cs="仿宋_GB2312"/>
          <w:spacing w:val="-4"/>
          <w:sz w:val="32"/>
          <w:szCs w:val="32"/>
          <w:lang w:eastAsia="zh-CN"/>
        </w:rPr>
        <w:t>）中的绩效评价指标体系进行。</w:t>
      </w:r>
    </w:p>
    <w:p>
      <w:pPr>
        <w:keepNext w:val="0"/>
        <w:keepLines w:val="0"/>
        <w:pageBreakBefore w:val="0"/>
        <w:widowControl w:val="0"/>
        <w:kinsoku/>
        <w:wordWrap/>
        <w:overflowPunct/>
        <w:topLinePunct w:val="0"/>
        <w:autoSpaceDE/>
        <w:autoSpaceDN/>
        <w:bidi w:val="0"/>
        <w:adjustRightInd/>
        <w:snapToGrid w:val="0"/>
        <w:spacing w:line="590" w:lineRule="exact"/>
        <w:ind w:left="0" w:firstLine="627" w:firstLineChars="200"/>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（三）评价方法及标准</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24" w:firstLineChars="200"/>
        <w:textAlignment w:val="auto"/>
        <w:rPr>
          <w:rFonts w:hint="eastAsia" w:ascii="Times New Roman" w:hAnsi="Times New Roman" w:eastAsia="仿宋_GB2312" w:cs="仿宋_GB2312"/>
          <w:spacing w:val="-4"/>
          <w:sz w:val="32"/>
          <w:szCs w:val="32"/>
          <w:lang w:eastAsia="zh-CN"/>
        </w:rPr>
      </w:pP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通过对</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项目现场</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调研、核对财务账目等方式，对资金使用进行评价。本次绩效评价采用百分制，各级指标依据其指标权重确定分值，最终得分由各级评价指标得分加总形成。根据最终得分将评价标准分为四个等级</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优</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得分≥90分</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良</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80分≤得分&lt;90分</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中</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60≤得分&lt;80分</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差</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得分&lt;60分</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24" w:firstLineChars="200"/>
        <w:textAlignment w:val="auto"/>
        <w:outlineLvl w:val="9"/>
        <w:rPr>
          <w:rFonts w:hint="eastAsia" w:ascii="Times New Roman" w:hAnsi="Times New Roman" w:eastAsia="黑体"/>
          <w:spacing w:val="-4"/>
          <w:sz w:val="32"/>
          <w:szCs w:val="32"/>
        </w:rPr>
      </w:pPr>
      <w:r>
        <w:rPr>
          <w:rFonts w:hint="eastAsia" w:ascii="Times New Roman" w:hAnsi="Times New Roman" w:eastAsia="黑体"/>
          <w:spacing w:val="-4"/>
          <w:sz w:val="32"/>
          <w:szCs w:val="32"/>
          <w:lang w:val="en-US" w:eastAsia="zh-CN"/>
        </w:rPr>
        <w:t>三、</w:t>
      </w:r>
      <w:r>
        <w:rPr>
          <w:rFonts w:hint="eastAsia" w:ascii="Times New Roman" w:hAnsi="Times New Roman" w:eastAsia="黑体"/>
          <w:spacing w:val="-4"/>
          <w:sz w:val="32"/>
          <w:szCs w:val="32"/>
          <w:lang w:eastAsia="zh-CN"/>
        </w:rPr>
        <w:t>综合</w:t>
      </w:r>
      <w:r>
        <w:rPr>
          <w:rFonts w:hint="eastAsia" w:ascii="Times New Roman" w:hAnsi="Times New Roman" w:eastAsia="黑体"/>
          <w:spacing w:val="-4"/>
          <w:sz w:val="32"/>
          <w:szCs w:val="32"/>
        </w:rPr>
        <w:t>评价结论</w:t>
      </w:r>
    </w:p>
    <w:p>
      <w:pPr>
        <w:pStyle w:val="2"/>
        <w:keepNext w:val="0"/>
        <w:keepLines w:val="0"/>
        <w:pageBreakBefore w:val="0"/>
        <w:widowControl w:val="0"/>
        <w:kinsoku/>
        <w:wordWrap/>
        <w:overflowPunct/>
        <w:topLinePunct w:val="0"/>
        <w:autoSpaceDE/>
        <w:autoSpaceDN/>
        <w:bidi w:val="0"/>
        <w:adjustRightInd w:val="0"/>
        <w:snapToGrid w:val="0"/>
        <w:spacing w:line="590" w:lineRule="exact"/>
        <w:ind w:left="0" w:right="0"/>
        <w:jc w:val="both"/>
        <w:textAlignment w:val="baseline"/>
        <w:rPr>
          <w:rFonts w:hint="eastAsia" w:ascii="Times New Roman" w:hAnsi="Times New Roman" w:eastAsia="仿宋_GB2312" w:cs="仿宋_GB2312"/>
          <w:spacing w:val="-4"/>
          <w:lang w:eastAsia="zh-CN"/>
        </w:rPr>
      </w:pPr>
      <w:r>
        <w:rPr>
          <w:rFonts w:hint="eastAsia" w:ascii="Times New Roman" w:hAnsi="Times New Roman" w:eastAsia="仿宋_GB2312" w:cs="仿宋_GB2312"/>
          <w:spacing w:val="-4"/>
          <w:lang w:eastAsia="zh-CN"/>
        </w:rPr>
        <w:t>大英县金阳市场建设成本补助资金</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项目在组织实施、项目管理、财务管理、项目完成情况各方面完成良好，</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在</w:t>
      </w:r>
      <w:r>
        <w:rPr>
          <w:rFonts w:hint="eastAsia" w:ascii="Times New Roman" w:hAnsi="Times New Roman" w:eastAsia="仿宋_GB2312" w:cs="仿宋_GB2312"/>
          <w:spacing w:val="-4"/>
          <w:sz w:val="32"/>
          <w:lang w:val="en-US" w:eastAsia="zh-CN"/>
        </w:rPr>
        <w:t>此次绩效评价结果为“优”等次，</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较好地完成了项目预定目标。</w:t>
      </w:r>
    </w:p>
    <w:p>
      <w:pPr>
        <w:keepNext w:val="0"/>
        <w:keepLines w:val="0"/>
        <w:pageBreakBefore w:val="0"/>
        <w:widowControl w:val="0"/>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eastAsia="黑体" w:cs="黑体"/>
          <w:b w:val="0"/>
          <w:bCs/>
          <w:spacing w:val="-4"/>
          <w:sz w:val="32"/>
          <w:szCs w:val="32"/>
          <w:lang w:eastAsia="zh-CN"/>
        </w:rPr>
      </w:pPr>
      <w:r>
        <w:rPr>
          <w:rFonts w:hint="eastAsia" w:ascii="Times New Roman" w:hAnsi="Times New Roman" w:eastAsia="黑体" w:cs="黑体"/>
          <w:b w:val="0"/>
          <w:bCs/>
          <w:spacing w:val="-4"/>
          <w:sz w:val="32"/>
          <w:szCs w:val="32"/>
          <w:lang w:eastAsia="zh-CN"/>
        </w:rPr>
        <w:t>四、绩效评价分析</w:t>
      </w:r>
    </w:p>
    <w:p>
      <w:pPr>
        <w:keepNext w:val="0"/>
        <w:keepLines w:val="0"/>
        <w:pageBreakBefore w:val="0"/>
        <w:widowControl w:val="0"/>
        <w:kinsoku/>
        <w:wordWrap/>
        <w:overflowPunct/>
        <w:topLinePunct w:val="0"/>
        <w:autoSpaceDE/>
        <w:autoSpaceDN/>
        <w:bidi w:val="0"/>
        <w:adjustRightInd/>
        <w:snapToGrid w:val="0"/>
        <w:spacing w:line="590" w:lineRule="exact"/>
        <w:ind w:left="0" w:firstLine="627" w:firstLineChars="200"/>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（一）项目决策情况。</w:t>
      </w:r>
    </w:p>
    <w:p>
      <w:pPr>
        <w:keepNext w:val="0"/>
        <w:keepLines w:val="0"/>
        <w:pageBreakBefore w:val="0"/>
        <w:kinsoku/>
        <w:wordWrap/>
        <w:overflowPunct/>
        <w:topLinePunct w:val="0"/>
        <w:autoSpaceDE/>
        <w:autoSpaceDN/>
        <w:bidi w:val="0"/>
        <w:adjustRightInd w:val="0"/>
        <w:snapToGrid w:val="0"/>
        <w:spacing w:line="590" w:lineRule="exact"/>
        <w:ind w:left="0" w:leftChars="0" w:firstLine="624" w:firstLineChars="200"/>
        <w:textAlignment w:val="auto"/>
        <w:rPr>
          <w:rFonts w:hint="eastAsia" w:ascii="Times New Roman" w:hAnsi="Times New Roman"/>
          <w:spacing w:val="-4"/>
          <w:lang w:eastAsia="zh-CN"/>
        </w:rPr>
      </w:pPr>
      <w:r>
        <w:rPr>
          <w:rFonts w:hint="eastAsia" w:ascii="Times New Roman" w:hAnsi="Times New Roman" w:eastAsia="仿宋_GB2312" w:cs="Times New Roman"/>
          <w:b w:val="0"/>
          <w:bCs/>
          <w:color w:val="000000" w:themeColor="text1"/>
          <w:spacing w:val="-4"/>
          <w:sz w:val="32"/>
          <w:szCs w:val="32"/>
          <w14:textFill>
            <w14:solidFill>
              <w14:schemeClr w14:val="tx1"/>
            </w14:solidFill>
          </w14:textFill>
        </w:rPr>
        <w:t>本项目均设定了项目绩效目标，对资金配置方面均有明确测算依据，整体情况良好。</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firstLine="627" w:firstLineChars="200"/>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w:t>
      </w:r>
      <w:r>
        <w:rPr>
          <w:rFonts w:hint="eastAsia" w:ascii="Times New Roman" w:hAnsi="Times New Roman" w:eastAsia="楷体_GB2312" w:cs="楷体_GB2312"/>
          <w:b/>
          <w:bCs/>
          <w:spacing w:val="-4"/>
          <w:sz w:val="32"/>
          <w:szCs w:val="32"/>
          <w:lang w:val="en-US" w:eastAsia="zh-CN"/>
        </w:rPr>
        <w:t>二</w:t>
      </w:r>
      <w:r>
        <w:rPr>
          <w:rFonts w:hint="eastAsia" w:ascii="Times New Roman" w:hAnsi="Times New Roman" w:eastAsia="楷体_GB2312" w:cs="楷体_GB2312"/>
          <w:b/>
          <w:bCs/>
          <w:spacing w:val="-4"/>
          <w:sz w:val="32"/>
          <w:szCs w:val="32"/>
          <w:lang w:eastAsia="zh-CN"/>
        </w:rPr>
        <w:t>）项目管理情况。</w:t>
      </w:r>
    </w:p>
    <w:p>
      <w:pPr>
        <w:keepNext w:val="0"/>
        <w:keepLines w:val="0"/>
        <w:pageBreakBefore w:val="0"/>
        <w:numPr>
          <w:ilvl w:val="0"/>
          <w:numId w:val="0"/>
        </w:numPr>
        <w:kinsoku/>
        <w:overflowPunct/>
        <w:topLinePunct w:val="0"/>
        <w:autoSpaceDN/>
        <w:bidi w:val="0"/>
        <w:adjustRightInd w:val="0"/>
        <w:snapToGrid w:val="0"/>
        <w:spacing w:line="590" w:lineRule="exact"/>
        <w:ind w:left="0" w:firstLine="624"/>
        <w:rPr>
          <w:rFonts w:hint="eastAsia" w:ascii="Times New Roman" w:hAnsi="Times New Roman" w:eastAsia="仿宋_GB2312" w:cs="仿宋_GB2312"/>
          <w:spacing w:val="-4"/>
          <w:sz w:val="32"/>
          <w:szCs w:val="32"/>
          <w:lang w:eastAsia="zh-CN"/>
        </w:rPr>
      </w:pP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县</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商务经合</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局业务股室，根据</w:t>
      </w:r>
      <w:r>
        <w:rPr>
          <w:rFonts w:hint="eastAsia" w:ascii="Times New Roman" w:hAnsi="Times New Roman" w:eastAsia="仿宋_GB2312" w:cs="仿宋_GB2312"/>
          <w:spacing w:val="-4"/>
          <w:sz w:val="32"/>
          <w:szCs w:val="32"/>
          <w:lang w:eastAsia="zh-CN"/>
        </w:rPr>
        <w:t>大英县金阳市场建设成本补助资金</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项目工作的具体内容和预算资金情况编制具体的绩效目标和具体的会计科目，每使用一笔经费均完善</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了</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财务</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手续后</w:t>
      </w:r>
      <w:r>
        <w:rPr>
          <w:rFonts w:hint="eastAsia" w:ascii="Times New Roman" w:hAnsi="Times New Roman" w:eastAsia="仿宋_GB2312" w:cs="仿宋_GB2312"/>
          <w:b w:val="0"/>
          <w:bCs/>
          <w:color w:val="000000" w:themeColor="text1"/>
          <w:spacing w:val="-4"/>
          <w:sz w:val="32"/>
          <w:szCs w:val="32"/>
          <w:lang w:eastAsia="zh-CN"/>
          <w14:textFill>
            <w14:solidFill>
              <w14:schemeClr w14:val="tx1"/>
            </w14:solidFill>
          </w14:textFill>
        </w:rPr>
        <w:t>再</w:t>
      </w: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进行</w:t>
      </w:r>
      <w:r>
        <w:rPr>
          <w:rFonts w:hint="eastAsia" w:ascii="Times New Roman" w:hAnsi="Times New Roman" w:eastAsia="仿宋_GB2312" w:cs="仿宋_GB2312"/>
          <w:b w:val="0"/>
          <w:bCs/>
          <w:color w:val="000000" w:themeColor="text1"/>
          <w:spacing w:val="-4"/>
          <w:sz w:val="32"/>
          <w:szCs w:val="32"/>
          <w14:textFill>
            <w14:solidFill>
              <w14:schemeClr w14:val="tx1"/>
            </w14:solidFill>
          </w14:textFill>
        </w:rPr>
        <w:t>支付。</w:t>
      </w:r>
    </w:p>
    <w:p>
      <w:pPr>
        <w:keepNext w:val="0"/>
        <w:keepLines w:val="0"/>
        <w:pageBreakBefore w:val="0"/>
        <w:widowControl w:val="0"/>
        <w:numPr>
          <w:ilvl w:val="0"/>
          <w:numId w:val="0"/>
        </w:numPr>
        <w:kinsoku/>
        <w:wordWrap/>
        <w:overflowPunct/>
        <w:topLinePunct w:val="0"/>
        <w:autoSpaceDE/>
        <w:autoSpaceDN/>
        <w:bidi w:val="0"/>
        <w:adjustRightInd/>
        <w:snapToGrid w:val="0"/>
        <w:spacing w:after="157" w:afterLines="50" w:line="590" w:lineRule="exact"/>
        <w:ind w:firstLine="627" w:firstLineChars="200"/>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w:t>
      </w:r>
      <w:r>
        <w:rPr>
          <w:rFonts w:hint="eastAsia" w:ascii="Times New Roman" w:hAnsi="Times New Roman" w:eastAsia="楷体_GB2312" w:cs="楷体_GB2312"/>
          <w:b/>
          <w:bCs/>
          <w:spacing w:val="-4"/>
          <w:sz w:val="32"/>
          <w:szCs w:val="32"/>
          <w:lang w:val="en-US" w:eastAsia="zh-CN"/>
        </w:rPr>
        <w:t>三</w:t>
      </w:r>
      <w:r>
        <w:rPr>
          <w:rFonts w:hint="eastAsia" w:ascii="Times New Roman" w:hAnsi="Times New Roman" w:eastAsia="楷体_GB2312" w:cs="楷体_GB2312"/>
          <w:b/>
          <w:bCs/>
          <w:spacing w:val="-4"/>
          <w:sz w:val="32"/>
          <w:szCs w:val="32"/>
          <w:lang w:eastAsia="zh-CN"/>
        </w:rPr>
        <w:t>）项目产出情况。</w:t>
      </w:r>
    </w:p>
    <w:tbl>
      <w:tblPr>
        <w:tblStyle w:val="11"/>
        <w:tblW w:w="8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17"/>
        <w:gridCol w:w="1176"/>
        <w:gridCol w:w="1320"/>
        <w:gridCol w:w="2760"/>
        <w:gridCol w:w="1905"/>
        <w:gridCol w:w="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blHeader/>
          <w:jc w:val="center"/>
        </w:trPr>
        <w:tc>
          <w:tcPr>
            <w:tcW w:w="617"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kinsoku/>
              <w:wordWrap/>
              <w:overflowPunct/>
              <w:topLinePunct w:val="0"/>
              <w:autoSpaceDE/>
              <w:autoSpaceDN/>
              <w:bidi w:val="0"/>
              <w:spacing w:line="390" w:lineRule="exact"/>
              <w:ind w:left="0"/>
              <w:jc w:val="center"/>
              <w:rPr>
                <w:rFonts w:hint="default" w:ascii="Times New Roman" w:hAnsi="Times New Roman" w:eastAsia="仿宋_GB2312" w:cs="Times New Roman"/>
                <w:color w:val="000000"/>
                <w:spacing w:val="-4"/>
                <w:sz w:val="21"/>
                <w:szCs w:val="21"/>
              </w:rPr>
            </w:pPr>
            <w:r>
              <w:rPr>
                <w:rFonts w:hint="default" w:ascii="Times New Roman" w:hAnsi="Times New Roman" w:eastAsia="仿宋_GB2312" w:cs="Times New Roman"/>
                <w:b/>
                <w:bCs/>
                <w:color w:val="000000"/>
                <w:spacing w:val="-4"/>
                <w:kern w:val="0"/>
                <w:sz w:val="21"/>
                <w:szCs w:val="21"/>
              </w:rPr>
              <w:t>绩效指标</w:t>
            </w:r>
          </w:p>
        </w:tc>
        <w:tc>
          <w:tcPr>
            <w:tcW w:w="1176"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sz w:val="21"/>
                <w:szCs w:val="21"/>
              </w:rPr>
            </w:pPr>
            <w:r>
              <w:rPr>
                <w:rFonts w:hint="default" w:ascii="Times New Roman" w:hAnsi="Times New Roman" w:eastAsia="仿宋_GB2312" w:cs="Times New Roman"/>
                <w:b/>
                <w:bCs/>
                <w:color w:val="000000"/>
                <w:spacing w:val="-4"/>
                <w:kern w:val="0"/>
                <w:sz w:val="21"/>
                <w:szCs w:val="21"/>
              </w:rPr>
              <w:t>一级指标</w:t>
            </w:r>
          </w:p>
        </w:tc>
        <w:tc>
          <w:tcPr>
            <w:tcW w:w="13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sz w:val="21"/>
                <w:szCs w:val="21"/>
              </w:rPr>
            </w:pPr>
            <w:r>
              <w:rPr>
                <w:rFonts w:hint="default" w:ascii="Times New Roman" w:hAnsi="Times New Roman" w:eastAsia="仿宋_GB2312" w:cs="Times New Roman"/>
                <w:b/>
                <w:bCs/>
                <w:color w:val="000000"/>
                <w:spacing w:val="-4"/>
                <w:kern w:val="0"/>
                <w:sz w:val="21"/>
                <w:szCs w:val="21"/>
              </w:rPr>
              <w:t>二级指标</w:t>
            </w:r>
          </w:p>
        </w:tc>
        <w:tc>
          <w:tcPr>
            <w:tcW w:w="27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sz w:val="21"/>
                <w:szCs w:val="21"/>
              </w:rPr>
            </w:pPr>
            <w:r>
              <w:rPr>
                <w:rFonts w:hint="default" w:ascii="Times New Roman" w:hAnsi="Times New Roman" w:eastAsia="仿宋_GB2312" w:cs="Times New Roman"/>
                <w:b/>
                <w:bCs/>
                <w:color w:val="000000"/>
                <w:spacing w:val="-4"/>
                <w:kern w:val="0"/>
                <w:sz w:val="21"/>
                <w:szCs w:val="21"/>
              </w:rPr>
              <w:t>三级指标</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sz w:val="21"/>
                <w:szCs w:val="21"/>
                <w:lang w:eastAsia="zh-CN"/>
              </w:rPr>
            </w:pPr>
            <w:r>
              <w:rPr>
                <w:rFonts w:hint="default" w:ascii="Times New Roman" w:hAnsi="Times New Roman" w:eastAsia="仿宋_GB2312" w:cs="Times New Roman"/>
                <w:b/>
                <w:bCs/>
                <w:color w:val="000000"/>
                <w:spacing w:val="-4"/>
                <w:kern w:val="0"/>
                <w:sz w:val="21"/>
                <w:szCs w:val="21"/>
              </w:rPr>
              <w:t>指标值</w:t>
            </w:r>
            <w:r>
              <w:rPr>
                <w:rFonts w:hint="default" w:ascii="Times New Roman" w:hAnsi="Times New Roman" w:eastAsia="仿宋_GB2312" w:cs="Times New Roman"/>
                <w:b/>
                <w:bCs/>
                <w:color w:val="000000"/>
                <w:spacing w:val="-4"/>
                <w:kern w:val="0"/>
                <w:sz w:val="21"/>
                <w:szCs w:val="21"/>
                <w:lang w:eastAsia="zh-CN"/>
              </w:rPr>
              <w:t>（</w:t>
            </w:r>
            <w:r>
              <w:rPr>
                <w:rFonts w:hint="default" w:ascii="Times New Roman" w:hAnsi="Times New Roman" w:eastAsia="仿宋_GB2312" w:cs="Times New Roman"/>
                <w:b/>
                <w:bCs/>
                <w:color w:val="000000"/>
                <w:spacing w:val="-4"/>
                <w:kern w:val="0"/>
                <w:sz w:val="21"/>
                <w:szCs w:val="21"/>
                <w:lang w:val="en-US" w:eastAsia="zh-CN"/>
              </w:rPr>
              <w:t>包含数字及文字描述</w:t>
            </w:r>
            <w:r>
              <w:rPr>
                <w:rFonts w:hint="default" w:ascii="Times New Roman" w:hAnsi="Times New Roman" w:eastAsia="仿宋_GB2312" w:cs="Times New Roman"/>
                <w:b/>
                <w:bCs/>
                <w:color w:val="000000"/>
                <w:spacing w:val="-4"/>
                <w:kern w:val="0"/>
                <w:sz w:val="21"/>
                <w:szCs w:val="21"/>
                <w:lang w:eastAsia="zh-CN"/>
              </w:rPr>
              <w:t>）</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kern w:val="0"/>
                <w:sz w:val="21"/>
                <w:szCs w:val="21"/>
                <w:lang w:val="en-US" w:eastAsia="zh-CN"/>
              </w:rPr>
            </w:pPr>
            <w:r>
              <w:rPr>
                <w:rFonts w:hint="default" w:ascii="Times New Roman" w:hAnsi="Times New Roman" w:eastAsia="仿宋_GB2312" w:cs="Times New Roman"/>
                <w:b/>
                <w:bCs/>
                <w:color w:val="000000"/>
                <w:spacing w:val="-4"/>
                <w:kern w:val="0"/>
                <w:sz w:val="21"/>
                <w:szCs w:val="21"/>
                <w:lang w:val="en-US" w:eastAsia="zh-CN"/>
              </w:rPr>
              <w:t>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Header/>
          <w:jc w:val="center"/>
        </w:trPr>
        <w:tc>
          <w:tcPr>
            <w:tcW w:w="617"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rPr>
                <w:rFonts w:hint="default" w:ascii="Times New Roman" w:hAnsi="Times New Roman" w:eastAsia="仿宋_GB2312" w:cs="Times New Roman"/>
                <w:color w:val="000000"/>
                <w:spacing w:val="-4"/>
                <w:sz w:val="21"/>
                <w:szCs w:val="21"/>
              </w:rPr>
            </w:pPr>
          </w:p>
        </w:tc>
        <w:tc>
          <w:tcPr>
            <w:tcW w:w="1176"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项目完成</w:t>
            </w:r>
          </w:p>
        </w:tc>
        <w:tc>
          <w:tcPr>
            <w:tcW w:w="13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时效指标</w:t>
            </w:r>
          </w:p>
        </w:tc>
        <w:tc>
          <w:tcPr>
            <w:tcW w:w="27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补助资金发放及时率</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Header/>
          <w:jc w:val="center"/>
        </w:trPr>
        <w:tc>
          <w:tcPr>
            <w:tcW w:w="617"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rPr>
                <w:rFonts w:hint="default" w:ascii="Times New Roman" w:hAnsi="Times New Roman" w:eastAsia="仿宋_GB2312" w:cs="Times New Roman"/>
                <w:color w:val="000000"/>
                <w:spacing w:val="-4"/>
                <w:sz w:val="21"/>
                <w:szCs w:val="21"/>
              </w:rPr>
            </w:pPr>
          </w:p>
        </w:tc>
        <w:tc>
          <w:tcPr>
            <w:tcW w:w="1176"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p>
        </w:tc>
        <w:tc>
          <w:tcPr>
            <w:tcW w:w="13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质量指标</w:t>
            </w:r>
          </w:p>
        </w:tc>
        <w:tc>
          <w:tcPr>
            <w:tcW w:w="27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达到星级农贸市场标准评分</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≥206</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Header/>
          <w:jc w:val="center"/>
        </w:trPr>
        <w:tc>
          <w:tcPr>
            <w:tcW w:w="617"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rPr>
                <w:rFonts w:hint="default" w:ascii="Times New Roman" w:hAnsi="Times New Roman" w:eastAsia="仿宋_GB2312" w:cs="Times New Roman"/>
                <w:color w:val="000000"/>
                <w:spacing w:val="-4"/>
                <w:sz w:val="21"/>
                <w:szCs w:val="21"/>
              </w:rPr>
            </w:pPr>
          </w:p>
        </w:tc>
        <w:tc>
          <w:tcPr>
            <w:tcW w:w="1176"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p>
        </w:tc>
        <w:tc>
          <w:tcPr>
            <w:tcW w:w="13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数量指标</w:t>
            </w:r>
          </w:p>
        </w:tc>
        <w:tc>
          <w:tcPr>
            <w:tcW w:w="27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补助金阳市场企业</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Header/>
          <w:jc w:val="center"/>
        </w:trPr>
        <w:tc>
          <w:tcPr>
            <w:tcW w:w="617"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rPr>
                <w:rFonts w:hint="default" w:ascii="Times New Roman" w:hAnsi="Times New Roman" w:eastAsia="仿宋_GB2312" w:cs="Times New Roman"/>
                <w:color w:val="000000"/>
                <w:spacing w:val="-4"/>
                <w:sz w:val="21"/>
                <w:szCs w:val="21"/>
              </w:rPr>
            </w:pPr>
          </w:p>
        </w:tc>
        <w:tc>
          <w:tcPr>
            <w:tcW w:w="1176"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p>
        </w:tc>
        <w:tc>
          <w:tcPr>
            <w:tcW w:w="132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成本指标</w:t>
            </w:r>
          </w:p>
        </w:tc>
        <w:tc>
          <w:tcPr>
            <w:tcW w:w="276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补助资金拨付成本控制数</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≤1324875.5</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157" w:beforeLines="50" w:after="157" w:afterLines="50" w:line="590" w:lineRule="exact"/>
        <w:ind w:firstLine="627" w:firstLineChars="200"/>
        <w:textAlignment w:val="auto"/>
        <w:outlineLvl w:val="9"/>
        <w:rPr>
          <w:rFonts w:hint="eastAsia" w:ascii="Times New Roman" w:hAnsi="Times New Roman" w:eastAsia="楷体_GB2312" w:cs="楷体_GB2312"/>
          <w:b/>
          <w:bCs/>
          <w:spacing w:val="-4"/>
          <w:sz w:val="32"/>
          <w:szCs w:val="32"/>
          <w:lang w:eastAsia="zh-CN"/>
        </w:rPr>
      </w:pPr>
      <w:r>
        <w:rPr>
          <w:rFonts w:hint="eastAsia" w:ascii="Times New Roman" w:hAnsi="Times New Roman" w:eastAsia="楷体_GB2312" w:cs="楷体_GB2312"/>
          <w:b/>
          <w:bCs/>
          <w:spacing w:val="-4"/>
          <w:sz w:val="32"/>
          <w:szCs w:val="32"/>
          <w:lang w:eastAsia="zh-CN"/>
        </w:rPr>
        <w:t>（</w:t>
      </w:r>
      <w:r>
        <w:rPr>
          <w:rFonts w:hint="eastAsia" w:ascii="Times New Roman" w:hAnsi="Times New Roman" w:eastAsia="楷体_GB2312" w:cs="楷体_GB2312"/>
          <w:b/>
          <w:bCs/>
          <w:spacing w:val="-4"/>
          <w:sz w:val="32"/>
          <w:szCs w:val="32"/>
          <w:lang w:val="en-US" w:eastAsia="zh-CN"/>
        </w:rPr>
        <w:t>四</w:t>
      </w:r>
      <w:r>
        <w:rPr>
          <w:rFonts w:hint="eastAsia" w:ascii="Times New Roman" w:hAnsi="Times New Roman" w:eastAsia="楷体_GB2312" w:cs="楷体_GB2312"/>
          <w:b/>
          <w:bCs/>
          <w:spacing w:val="-4"/>
          <w:sz w:val="32"/>
          <w:szCs w:val="32"/>
          <w:lang w:eastAsia="zh-CN"/>
        </w:rPr>
        <w:t>）项目效益</w:t>
      </w:r>
      <w:r>
        <w:rPr>
          <w:rFonts w:hint="eastAsia" w:ascii="Times New Roman" w:hAnsi="Times New Roman" w:eastAsia="楷体_GB2312" w:cs="楷体_GB2312"/>
          <w:b/>
          <w:bCs/>
          <w:color w:val="auto"/>
          <w:spacing w:val="-4"/>
          <w:sz w:val="32"/>
          <w:szCs w:val="32"/>
          <w:lang w:eastAsia="zh-CN"/>
        </w:rPr>
        <w:t>情</w:t>
      </w:r>
      <w:r>
        <w:rPr>
          <w:rFonts w:hint="eastAsia" w:ascii="Times New Roman" w:hAnsi="Times New Roman" w:eastAsia="楷体_GB2312" w:cs="楷体_GB2312"/>
          <w:b/>
          <w:bCs/>
          <w:spacing w:val="-4"/>
          <w:sz w:val="32"/>
          <w:szCs w:val="32"/>
          <w:lang w:eastAsia="zh-CN"/>
        </w:rPr>
        <w:t>况。</w:t>
      </w:r>
    </w:p>
    <w:tbl>
      <w:tblPr>
        <w:tblStyle w:val="11"/>
        <w:tblW w:w="8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17"/>
        <w:gridCol w:w="1221"/>
        <w:gridCol w:w="1290"/>
        <w:gridCol w:w="2745"/>
        <w:gridCol w:w="1905"/>
        <w:gridCol w:w="8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blHeader/>
          <w:jc w:val="center"/>
        </w:trPr>
        <w:tc>
          <w:tcPr>
            <w:tcW w:w="617"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kinsoku/>
              <w:wordWrap/>
              <w:overflowPunct/>
              <w:topLinePunct w:val="0"/>
              <w:autoSpaceDE/>
              <w:autoSpaceDN/>
              <w:bidi w:val="0"/>
              <w:spacing w:line="390" w:lineRule="exact"/>
              <w:ind w:left="0"/>
              <w:jc w:val="center"/>
              <w:rPr>
                <w:rFonts w:hint="default" w:ascii="Times New Roman" w:hAnsi="Times New Roman" w:eastAsia="仿宋_GB2312" w:cs="Times New Roman"/>
                <w:color w:val="000000"/>
                <w:spacing w:val="-4"/>
                <w:sz w:val="21"/>
                <w:szCs w:val="21"/>
              </w:rPr>
            </w:pPr>
            <w:r>
              <w:rPr>
                <w:rFonts w:hint="default" w:ascii="Times New Roman" w:hAnsi="Times New Roman" w:eastAsia="仿宋_GB2312" w:cs="Times New Roman"/>
                <w:b/>
                <w:bCs/>
                <w:color w:val="000000"/>
                <w:spacing w:val="-4"/>
                <w:kern w:val="0"/>
                <w:sz w:val="21"/>
                <w:szCs w:val="21"/>
              </w:rPr>
              <w:t>绩效指标</w:t>
            </w:r>
          </w:p>
        </w:tc>
        <w:tc>
          <w:tcPr>
            <w:tcW w:w="122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kern w:val="0"/>
                <w:sz w:val="21"/>
                <w:szCs w:val="21"/>
              </w:rPr>
            </w:pPr>
            <w:r>
              <w:rPr>
                <w:rFonts w:hint="default" w:ascii="Times New Roman" w:hAnsi="Times New Roman" w:eastAsia="仿宋_GB2312" w:cs="Times New Roman"/>
                <w:b/>
                <w:bCs/>
                <w:color w:val="000000"/>
                <w:spacing w:val="-4"/>
                <w:kern w:val="0"/>
                <w:sz w:val="21"/>
                <w:szCs w:val="21"/>
              </w:rPr>
              <w:t>一级指标</w:t>
            </w:r>
          </w:p>
        </w:tc>
        <w:tc>
          <w:tcPr>
            <w:tcW w:w="129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kern w:val="0"/>
                <w:sz w:val="21"/>
                <w:szCs w:val="21"/>
              </w:rPr>
            </w:pPr>
            <w:r>
              <w:rPr>
                <w:rFonts w:hint="default" w:ascii="Times New Roman" w:hAnsi="Times New Roman" w:eastAsia="仿宋_GB2312" w:cs="Times New Roman"/>
                <w:b/>
                <w:bCs/>
                <w:color w:val="000000"/>
                <w:spacing w:val="-4"/>
                <w:kern w:val="0"/>
                <w:sz w:val="21"/>
                <w:szCs w:val="21"/>
              </w:rPr>
              <w:t>二级指标</w:t>
            </w:r>
          </w:p>
        </w:tc>
        <w:tc>
          <w:tcPr>
            <w:tcW w:w="274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kern w:val="0"/>
                <w:sz w:val="21"/>
                <w:szCs w:val="21"/>
              </w:rPr>
            </w:pPr>
            <w:r>
              <w:rPr>
                <w:rFonts w:hint="default" w:ascii="Times New Roman" w:hAnsi="Times New Roman" w:eastAsia="仿宋_GB2312" w:cs="Times New Roman"/>
                <w:b/>
                <w:bCs/>
                <w:color w:val="000000"/>
                <w:spacing w:val="-4"/>
                <w:kern w:val="0"/>
                <w:sz w:val="21"/>
                <w:szCs w:val="21"/>
              </w:rPr>
              <w:t>三级指标</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kern w:val="0"/>
                <w:sz w:val="21"/>
                <w:szCs w:val="21"/>
                <w:lang w:eastAsia="zh-CN"/>
              </w:rPr>
            </w:pPr>
            <w:r>
              <w:rPr>
                <w:rFonts w:hint="default" w:ascii="Times New Roman" w:hAnsi="Times New Roman" w:eastAsia="仿宋_GB2312" w:cs="Times New Roman"/>
                <w:b/>
                <w:bCs/>
                <w:color w:val="000000"/>
                <w:spacing w:val="-4"/>
                <w:kern w:val="0"/>
                <w:sz w:val="21"/>
                <w:szCs w:val="21"/>
              </w:rPr>
              <w:t>指标值</w:t>
            </w:r>
            <w:r>
              <w:rPr>
                <w:rFonts w:hint="default" w:ascii="Times New Roman" w:hAnsi="Times New Roman" w:eastAsia="仿宋_GB2312" w:cs="Times New Roman"/>
                <w:b/>
                <w:bCs/>
                <w:color w:val="000000"/>
                <w:spacing w:val="-4"/>
                <w:kern w:val="0"/>
                <w:sz w:val="21"/>
                <w:szCs w:val="21"/>
                <w:lang w:eastAsia="zh-CN"/>
              </w:rPr>
              <w:t>（</w:t>
            </w:r>
            <w:r>
              <w:rPr>
                <w:rFonts w:hint="default" w:ascii="Times New Roman" w:hAnsi="Times New Roman" w:eastAsia="仿宋_GB2312" w:cs="Times New Roman"/>
                <w:b/>
                <w:bCs/>
                <w:color w:val="000000"/>
                <w:spacing w:val="-4"/>
                <w:kern w:val="0"/>
                <w:sz w:val="21"/>
                <w:szCs w:val="21"/>
                <w:lang w:val="en-US" w:eastAsia="zh-CN"/>
              </w:rPr>
              <w:t>包含数字及文字描述</w:t>
            </w:r>
            <w:r>
              <w:rPr>
                <w:rFonts w:hint="default" w:ascii="Times New Roman" w:hAnsi="Times New Roman" w:eastAsia="仿宋_GB2312" w:cs="Times New Roman"/>
                <w:b/>
                <w:bCs/>
                <w:color w:val="000000"/>
                <w:spacing w:val="-4"/>
                <w:kern w:val="0"/>
                <w:sz w:val="21"/>
                <w:szCs w:val="21"/>
                <w:lang w:eastAsia="zh-CN"/>
              </w:rPr>
              <w:t>）</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center"/>
              <w:textAlignment w:val="center"/>
              <w:rPr>
                <w:rFonts w:hint="default" w:ascii="Times New Roman" w:hAnsi="Times New Roman" w:eastAsia="仿宋_GB2312" w:cs="Times New Roman"/>
                <w:b/>
                <w:bCs/>
                <w:color w:val="000000"/>
                <w:spacing w:val="-4"/>
                <w:kern w:val="0"/>
                <w:sz w:val="21"/>
                <w:szCs w:val="21"/>
                <w:lang w:val="en-US" w:eastAsia="zh-CN"/>
              </w:rPr>
            </w:pPr>
            <w:r>
              <w:rPr>
                <w:rFonts w:hint="default" w:ascii="Times New Roman" w:hAnsi="Times New Roman" w:eastAsia="仿宋_GB2312" w:cs="Times New Roman"/>
                <w:b/>
                <w:bCs/>
                <w:color w:val="000000"/>
                <w:spacing w:val="-4"/>
                <w:kern w:val="0"/>
                <w:sz w:val="21"/>
                <w:szCs w:val="21"/>
                <w:lang w:val="en-US" w:eastAsia="zh-CN"/>
              </w:rPr>
              <w:t>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Header/>
          <w:jc w:val="center"/>
        </w:trPr>
        <w:tc>
          <w:tcPr>
            <w:tcW w:w="617"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both"/>
              <w:rPr>
                <w:rFonts w:hint="default" w:ascii="Times New Roman" w:hAnsi="Times New Roman" w:eastAsia="仿宋_GB2312" w:cs="Times New Roman"/>
                <w:color w:val="000000"/>
                <w:spacing w:val="-4"/>
                <w:sz w:val="21"/>
                <w:szCs w:val="21"/>
              </w:rPr>
            </w:pPr>
          </w:p>
        </w:tc>
        <w:tc>
          <w:tcPr>
            <w:tcW w:w="1221" w:type="dxa"/>
            <w:vMerge w:val="restart"/>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项目效益</w:t>
            </w:r>
          </w:p>
        </w:tc>
        <w:tc>
          <w:tcPr>
            <w:tcW w:w="129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top"/>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社会效益指标</w:t>
            </w:r>
          </w:p>
        </w:tc>
        <w:tc>
          <w:tcPr>
            <w:tcW w:w="274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top"/>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补助金阳市场企业应发尽发率</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top"/>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blHeader/>
          <w:jc w:val="center"/>
        </w:trPr>
        <w:tc>
          <w:tcPr>
            <w:tcW w:w="617"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val="0"/>
              <w:snapToGrid w:val="0"/>
              <w:spacing w:line="390" w:lineRule="exact"/>
              <w:ind w:left="0" w:right="0"/>
              <w:jc w:val="both"/>
              <w:rPr>
                <w:rFonts w:hint="default" w:ascii="Times New Roman" w:hAnsi="Times New Roman" w:eastAsia="仿宋_GB2312" w:cs="Times New Roman"/>
                <w:color w:val="000000"/>
                <w:spacing w:val="-4"/>
                <w:sz w:val="21"/>
                <w:szCs w:val="21"/>
              </w:rPr>
            </w:pPr>
          </w:p>
        </w:tc>
        <w:tc>
          <w:tcPr>
            <w:tcW w:w="1221" w:type="dxa"/>
            <w:vMerge w:val="continue"/>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p>
        </w:tc>
        <w:tc>
          <w:tcPr>
            <w:tcW w:w="1290"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top"/>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满意度指标</w:t>
            </w:r>
          </w:p>
        </w:tc>
        <w:tc>
          <w:tcPr>
            <w:tcW w:w="274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top"/>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服务对象满意度</w:t>
            </w:r>
          </w:p>
        </w:tc>
        <w:tc>
          <w:tcPr>
            <w:tcW w:w="1905"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top"/>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≥98%</w:t>
            </w:r>
          </w:p>
        </w:tc>
        <w:tc>
          <w:tcPr>
            <w:tcW w:w="831" w:type="dxa"/>
            <w:tcBorders>
              <w:top w:val="single" w:color="000000" w:sz="4" w:space="0"/>
              <w:left w:val="single" w:color="000000" w:sz="4" w:space="0"/>
              <w:bottom w:val="single" w:color="000000" w:sz="4" w:space="0"/>
              <w:right w:val="single" w:color="000000" w:sz="4" w:space="0"/>
              <w:tl2br w:val="nil"/>
              <w:tr2bl w:val="nil"/>
            </w:tcBorders>
            <w:tcMar>
              <w:top w:w="15" w:type="dxa"/>
              <w:left w:w="15" w:type="dxa"/>
              <w:right w:w="15" w:type="dxa"/>
            </w:tcMar>
            <w:vAlign w:val="center"/>
          </w:tcPr>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390" w:lineRule="exact"/>
              <w:ind w:left="0"/>
              <w:jc w:val="center"/>
              <w:textAlignment w:val="auto"/>
              <w:outlineLvl w:val="9"/>
              <w:rPr>
                <w:rFonts w:hint="default" w:ascii="Times New Roman" w:hAnsi="Times New Roman" w:eastAsia="仿宋_GB2312" w:cs="Times New Roman"/>
                <w:b w:val="0"/>
                <w:bCs w:val="0"/>
                <w:spacing w:val="-4"/>
                <w:sz w:val="21"/>
                <w:szCs w:val="21"/>
                <w:vertAlign w:val="baseline"/>
                <w:lang w:val="en-US" w:eastAsia="zh-CN"/>
              </w:rPr>
            </w:pPr>
            <w:r>
              <w:rPr>
                <w:rFonts w:hint="default" w:ascii="Times New Roman" w:hAnsi="Times New Roman" w:eastAsia="仿宋_GB2312" w:cs="Times New Roman"/>
                <w:b w:val="0"/>
                <w:bCs w:val="0"/>
                <w:spacing w:val="-4"/>
                <w:sz w:val="21"/>
                <w:szCs w:val="21"/>
                <w:vertAlign w:val="baseline"/>
                <w:lang w:val="en-US" w:eastAsia="zh-CN"/>
              </w:rPr>
              <w:t>100%</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before="157" w:beforeLines="50" w:line="590" w:lineRule="exact"/>
        <w:ind w:left="0" w:firstLine="624" w:firstLineChars="200"/>
        <w:textAlignment w:val="auto"/>
        <w:outlineLvl w:val="9"/>
        <w:rPr>
          <w:rFonts w:hint="eastAsia" w:ascii="Times New Roman" w:hAnsi="Times New Roman" w:eastAsia="黑体" w:cs="黑体"/>
          <w:b w:val="0"/>
          <w:bCs/>
          <w:spacing w:val="-4"/>
          <w:sz w:val="32"/>
          <w:szCs w:val="32"/>
          <w:lang w:eastAsia="zh-CN"/>
        </w:rPr>
      </w:pPr>
      <w:r>
        <w:rPr>
          <w:rFonts w:hint="eastAsia" w:ascii="Times New Roman" w:hAnsi="Times New Roman" w:eastAsia="黑体" w:cs="黑体"/>
          <w:b w:val="0"/>
          <w:bCs/>
          <w:spacing w:val="-4"/>
          <w:sz w:val="32"/>
          <w:szCs w:val="32"/>
          <w:lang w:eastAsia="zh-CN"/>
        </w:rPr>
        <w:t>五、存在主要问题</w:t>
      </w:r>
    </w:p>
    <w:p>
      <w:pPr>
        <w:pStyle w:val="2"/>
        <w:keepNext w:val="0"/>
        <w:keepLines w:val="0"/>
        <w:pageBreakBefore w:val="0"/>
        <w:numPr>
          <w:ilvl w:val="0"/>
          <w:numId w:val="0"/>
        </w:numPr>
        <w:kinsoku/>
        <w:overflowPunct/>
        <w:topLinePunct w:val="0"/>
        <w:autoSpaceDN/>
        <w:bidi w:val="0"/>
        <w:spacing w:line="590" w:lineRule="exact"/>
        <w:ind w:left="0" w:firstLine="624" w:firstLineChars="200"/>
        <w:rPr>
          <w:rFonts w:hint="eastAsia" w:ascii="Times New Roman" w:hAnsi="Times New Roman" w:eastAsia="方正仿宋简体"/>
          <w:color w:val="auto"/>
          <w:spacing w:val="-4"/>
          <w:lang w:val="en-US" w:eastAsia="zh-CN"/>
        </w:rPr>
      </w:pPr>
      <w:r>
        <w:rPr>
          <w:rFonts w:hint="eastAsia" w:ascii="Times New Roman" w:hAnsi="Times New Roman" w:eastAsia="仿宋_GB2312" w:cs="Times New Roman"/>
          <w:b w:val="0"/>
          <w:bCs/>
          <w:color w:val="auto"/>
          <w:spacing w:val="-4"/>
          <w:sz w:val="32"/>
          <w:szCs w:val="32"/>
          <w:lang w:val="en-US" w:eastAsia="zh-CN"/>
        </w:rPr>
        <w:t>县政府未设立专项资金对农贸市场升级改造进行补贴。</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eastAsia="黑体" w:cs="黑体"/>
          <w:b w:val="0"/>
          <w:bCs/>
          <w:spacing w:val="-4"/>
          <w:sz w:val="32"/>
          <w:szCs w:val="32"/>
          <w:lang w:eastAsia="zh-CN"/>
        </w:rPr>
      </w:pPr>
      <w:r>
        <w:rPr>
          <w:rFonts w:hint="eastAsia" w:ascii="Times New Roman" w:hAnsi="Times New Roman" w:eastAsia="黑体" w:cs="黑体"/>
          <w:b w:val="0"/>
          <w:bCs/>
          <w:spacing w:val="-4"/>
          <w:sz w:val="32"/>
          <w:szCs w:val="32"/>
          <w:lang w:eastAsia="zh-CN"/>
        </w:rPr>
        <w:t>六、相关措施建议</w:t>
      </w:r>
    </w:p>
    <w:p>
      <w:pPr>
        <w:keepNext w:val="0"/>
        <w:keepLines w:val="0"/>
        <w:pageBreakBefore w:val="0"/>
        <w:kinsoku/>
        <w:overflowPunct/>
        <w:topLinePunct w:val="0"/>
        <w:autoSpaceDN/>
        <w:bidi w:val="0"/>
        <w:spacing w:line="590" w:lineRule="exact"/>
        <w:ind w:firstLine="624" w:firstLineChars="200"/>
        <w:jc w:val="both"/>
        <w:rPr>
          <w:rFonts w:hint="eastAsia" w:ascii="Times New Roman" w:hAnsi="Times New Roman" w:eastAsia="仿宋_GB2312" w:cs="仿宋_GB2312"/>
          <w:spacing w:val="-4"/>
          <w:kern w:val="0"/>
          <w:sz w:val="32"/>
          <w:szCs w:val="32"/>
          <w:shd w:val="clear" w:color="auto" w:fill="FFFFFF"/>
          <w:lang w:val="en-US" w:eastAsia="zh-CN" w:bidi="ar"/>
        </w:rPr>
      </w:pPr>
      <w:r>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t>县财政设立农贸市场建设改造管理专项资金，政府通过直接投资、产权回购回租及改造补贴、管理补贴等方式，鼓励和吸引社会各方参与农贸市场建设，鼓励市场开办单位积极做好现有市场的提升改造和规范管理。</w:t>
      </w:r>
    </w:p>
    <w:p>
      <w:pPr>
        <w:keepNext w:val="0"/>
        <w:keepLines w:val="0"/>
        <w:pageBreakBefore w:val="0"/>
        <w:kinsoku/>
        <w:overflowPunct/>
        <w:topLinePunct w:val="0"/>
        <w:autoSpaceDN/>
        <w:bidi w:val="0"/>
        <w:spacing w:line="590" w:lineRule="exact"/>
        <w:ind w:left="0" w:firstLine="1560" w:firstLineChars="5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left="0" w:firstLine="1560" w:firstLineChars="5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kinsoku/>
        <w:overflowPunct/>
        <w:topLinePunct w:val="0"/>
        <w:autoSpaceDN/>
        <w:bidi w:val="0"/>
        <w:spacing w:line="590" w:lineRule="exact"/>
        <w:ind w:left="0" w:firstLine="1560" w:firstLineChars="500"/>
        <w:jc w:val="both"/>
        <w:rPr>
          <w:rFonts w:hint="default" w:ascii="Times New Roman" w:hAnsi="Times New Roman" w:eastAsia="FangSong_GB2312"/>
          <w:spacing w:val="-4"/>
          <w:kern w:val="0"/>
          <w:sz w:val="32"/>
          <w:szCs w:val="32"/>
          <w:shd w:val="clear" w:color="auto" w:fill="FFFFFF"/>
          <w:lang w:val="en-US" w:eastAsia="zh-CN" w:bidi="ar"/>
        </w:rPr>
      </w:pPr>
    </w:p>
    <w:p>
      <w:pPr>
        <w:keepNext w:val="0"/>
        <w:keepLines w:val="0"/>
        <w:pageBreakBefore w:val="0"/>
        <w:widowControl/>
        <w:kinsoku/>
        <w:wordWrap w:val="0"/>
        <w:overflowPunct/>
        <w:topLinePunct w:val="0"/>
        <w:autoSpaceDE/>
        <w:autoSpaceDN/>
        <w:bidi w:val="0"/>
        <w:adjustRightInd w:val="0"/>
        <w:snapToGrid w:val="0"/>
        <w:spacing w:line="590" w:lineRule="exact"/>
        <w:ind w:left="0" w:right="0" w:rightChars="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left="0" w:right="0"/>
        <w:jc w:val="right"/>
        <w:rPr>
          <w:rFonts w:hint="default" w:ascii="Times New Roman" w:hAnsi="Times New Roman" w:cs="Times New Roman"/>
          <w:spacing w:val="-4"/>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20</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年</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月</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25</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日        </w:t>
      </w:r>
    </w:p>
    <w:sectPr>
      <w:footerReference r:id="rId3" w:type="default"/>
      <w:pgSz w:w="11906" w:h="16838"/>
      <w:pgMar w:top="1928" w:right="1474" w:bottom="1928" w:left="1587" w:header="851" w:footer="1134"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-237490</wp:posOffset>
              </wp:positionV>
              <wp:extent cx="900430" cy="375285"/>
              <wp:effectExtent l="0" t="0" r="0" b="0"/>
              <wp:wrapNone/>
              <wp:docPr id="2" name="文本框 2"/>
              <wp:cNvGraphicFramePr/>
              <a:graphic xmlns:a="http://schemas.openxmlformats.org/drawingml/2006/main">
                <a:graphicData uri="http://schemas.microsoft.com/office/word/2010/wordprocessingShape">
                  <wps:wsp>
                    <wps:cNvSpPr txBox="1"/>
                    <wps:spPr>
                      <a:xfrm>
                        <a:off x="0" y="0"/>
                        <a:ext cx="900430" cy="3752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kinsoku/>
                            <w:wordWrap/>
                            <w:overflowPunct/>
                            <w:topLinePunct w:val="0"/>
                            <w:bidi w:val="0"/>
                            <w:adjustRightInd/>
                            <w:snapToGrid w:val="0"/>
                            <w:ind w:left="210" w:leftChars="100" w:right="210" w:rightChars="100"/>
                            <w:textAlignment w:val="baseline"/>
                            <w:rPr>
                              <w:rFonts w:hint="eastAsia"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18.7pt;height:29.55pt;width:70.9pt;mso-position-horizontal:outside;mso-position-horizontal-relative:margin;z-index:251659264;mso-width-relative:page;mso-height-relative:page;" filled="f" stroked="f" coordsize="21600,21600" o:gfxdata="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dDjjF1gAAAAcBAAAPAAAAAAAAAAEAIAAAACIAAABkcnMvZG93bnJl&#10;di54bWxQSwECFAAUAAAACACHTuJAgqF4WTgCAABhBAAADgAAAAAAAAABACAAAAAlAQAAZHJzL2Uy&#10;b0RvYy54bWxQSwUGAAAAAAYABgBZAQAAzwUAAAAA&#10;">
              <v:fill on="f" focussize="0,0"/>
              <v:stroke on="f" weight="0.5pt"/>
              <v:imagedata o:title=""/>
              <o:lock v:ext="edit" aspectratio="f"/>
              <v:textbox inset="0mm,0mm,0mm,0mm">
                <w:txbxContent>
                  <w:p>
                    <w:pPr>
                      <w:pStyle w:val="7"/>
                      <w:keepNext w:val="0"/>
                      <w:keepLines w:val="0"/>
                      <w:pageBreakBefore w:val="0"/>
                      <w:widowControl/>
                      <w:kinsoku/>
                      <w:wordWrap/>
                      <w:overflowPunct/>
                      <w:topLinePunct w:val="0"/>
                      <w:bidi w:val="0"/>
                      <w:adjustRightInd/>
                      <w:snapToGrid w:val="0"/>
                      <w:ind w:left="210" w:leftChars="100" w:right="210" w:rightChars="100"/>
                      <w:textAlignment w:val="baseline"/>
                      <w:rPr>
                        <w:rFonts w:hint="eastAsia"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AA3CEC"/>
    <w:rsid w:val="01145609"/>
    <w:rsid w:val="01193968"/>
    <w:rsid w:val="01DF6163"/>
    <w:rsid w:val="02A66735"/>
    <w:rsid w:val="031A67DB"/>
    <w:rsid w:val="04BC470B"/>
    <w:rsid w:val="04BD4777"/>
    <w:rsid w:val="051C166B"/>
    <w:rsid w:val="05485881"/>
    <w:rsid w:val="055E32F7"/>
    <w:rsid w:val="07D77390"/>
    <w:rsid w:val="096536DF"/>
    <w:rsid w:val="0ABD0AEE"/>
    <w:rsid w:val="0AE20526"/>
    <w:rsid w:val="0B974D33"/>
    <w:rsid w:val="0BCE2CA4"/>
    <w:rsid w:val="0DEC10D3"/>
    <w:rsid w:val="0E0D1416"/>
    <w:rsid w:val="0F15307B"/>
    <w:rsid w:val="100B7BD7"/>
    <w:rsid w:val="103F3D25"/>
    <w:rsid w:val="110F6424"/>
    <w:rsid w:val="11875DAA"/>
    <w:rsid w:val="11F8447C"/>
    <w:rsid w:val="12A8795F"/>
    <w:rsid w:val="12F504CF"/>
    <w:rsid w:val="14485F86"/>
    <w:rsid w:val="15510782"/>
    <w:rsid w:val="15D82EC7"/>
    <w:rsid w:val="17143815"/>
    <w:rsid w:val="17471E3D"/>
    <w:rsid w:val="174A7237"/>
    <w:rsid w:val="19037FE5"/>
    <w:rsid w:val="19131119"/>
    <w:rsid w:val="193006AE"/>
    <w:rsid w:val="19616ABA"/>
    <w:rsid w:val="1AE33D18"/>
    <w:rsid w:val="1C4032FE"/>
    <w:rsid w:val="1D41732E"/>
    <w:rsid w:val="1D9E78F3"/>
    <w:rsid w:val="1EA21E17"/>
    <w:rsid w:val="1EC458CD"/>
    <w:rsid w:val="1EF06916"/>
    <w:rsid w:val="207B0778"/>
    <w:rsid w:val="207B3599"/>
    <w:rsid w:val="21EB1616"/>
    <w:rsid w:val="236A005D"/>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35197"/>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ED60EF"/>
    <w:rsid w:val="4C835767"/>
    <w:rsid w:val="4D152177"/>
    <w:rsid w:val="4E8D742E"/>
    <w:rsid w:val="4E9B4950"/>
    <w:rsid w:val="4F8D65A8"/>
    <w:rsid w:val="5054659D"/>
    <w:rsid w:val="51295B34"/>
    <w:rsid w:val="514C537E"/>
    <w:rsid w:val="52C553E8"/>
    <w:rsid w:val="53A75290"/>
    <w:rsid w:val="53DF24DA"/>
    <w:rsid w:val="54204120"/>
    <w:rsid w:val="55EB785C"/>
    <w:rsid w:val="56081147"/>
    <w:rsid w:val="56D13385"/>
    <w:rsid w:val="57362D58"/>
    <w:rsid w:val="57494FF9"/>
    <w:rsid w:val="575651A9"/>
    <w:rsid w:val="59280E6F"/>
    <w:rsid w:val="599E6336"/>
    <w:rsid w:val="5A960A17"/>
    <w:rsid w:val="5ABB5323"/>
    <w:rsid w:val="5AF3622C"/>
    <w:rsid w:val="5B331489"/>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C1402F2"/>
    <w:rsid w:val="6C1A00FB"/>
    <w:rsid w:val="6CEB0F53"/>
    <w:rsid w:val="6E5B49FB"/>
    <w:rsid w:val="6F6E5ACD"/>
    <w:rsid w:val="6FB27894"/>
    <w:rsid w:val="6FDD600F"/>
    <w:rsid w:val="71010E89"/>
    <w:rsid w:val="72347A3D"/>
    <w:rsid w:val="728A58AF"/>
    <w:rsid w:val="72B621DC"/>
    <w:rsid w:val="73ED07EB"/>
    <w:rsid w:val="75267B11"/>
    <w:rsid w:val="758B4081"/>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8"/>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2">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styleId="4">
    <w:name w:val="Body Text Indent"/>
    <w:basedOn w:val="1"/>
    <w:qFormat/>
    <w:uiPriority w:val="0"/>
    <w:pPr>
      <w:spacing w:after="120"/>
      <w:ind w:left="420" w:leftChars="200"/>
    </w:pPr>
    <w:rPr>
      <w:rFonts w:ascii="Times New Roman" w:hAnsi="Times New Roman" w:eastAsia="宋体" w:cs="Times New Roman"/>
    </w:rPr>
  </w:style>
  <w:style w:type="paragraph" w:styleId="5">
    <w:name w:val="Plain Text"/>
    <w:basedOn w:val="1"/>
    <w:qFormat/>
    <w:uiPriority w:val="0"/>
    <w:rPr>
      <w:rFonts w:ascii="宋体" w:hAnsi="Courier New"/>
    </w:rPr>
  </w:style>
  <w:style w:type="paragraph" w:styleId="6">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7">
    <w:name w:val="footer"/>
    <w:basedOn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4"/>
    <w:autoRedefine/>
    <w:qFormat/>
    <w:uiPriority w:val="0"/>
    <w:pPr>
      <w:ind w:firstLine="420" w:firstLineChars="200"/>
    </w:pPr>
    <w:rPr>
      <w:rFonts w:ascii="Times New Roman" w:hAnsi="Times New Roman" w:eastAsia="宋体" w:cs="Times New Roman"/>
    </w:rPr>
  </w:style>
  <w:style w:type="paragraph" w:customStyle="1" w:styleId="13">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4">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5">
    <w:name w:val="节标题"/>
    <w:basedOn w:val="1"/>
    <w:next w:val="1"/>
    <w:autoRedefine/>
    <w:qFormat/>
    <w:uiPriority w:val="99"/>
    <w:pPr>
      <w:spacing w:line="289" w:lineRule="atLeast"/>
      <w:jc w:val="center"/>
      <w:textAlignment w:val="baseline"/>
    </w:pPr>
    <w:rPr>
      <w:color w:val="000000"/>
      <w:sz w:val="28"/>
    </w:rPr>
  </w:style>
  <w:style w:type="paragraph" w:customStyle="1" w:styleId="16">
    <w:name w:val="UserStyle_0"/>
    <w:basedOn w:val="17"/>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17">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18">
    <w:name w:val="NormalCharacter"/>
    <w:link w:val="1"/>
    <w:autoRedefine/>
    <w:semiHidden/>
    <w:qFormat/>
    <w:uiPriority w:val="0"/>
  </w:style>
  <w:style w:type="table" w:customStyle="1" w:styleId="19">
    <w:name w:val="TableNormal"/>
    <w:autoRedefine/>
    <w:semiHidden/>
    <w:qFormat/>
    <w:uiPriority w:val="0"/>
  </w:style>
  <w:style w:type="paragraph" w:customStyle="1" w:styleId="20">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1714</Words>
  <Characters>1880</Characters>
  <Lines>0</Lines>
  <Paragraphs>0</Paragraphs>
  <TotalTime>17</TotalTime>
  <ScaleCrop>false</ScaleCrop>
  <LinksUpToDate>false</LinksUpToDate>
  <CharactersWithSpaces>1892</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2024-04-25T03:12:26Z</cp:lastPrinted>
  <dcterms:modified xsi:type="dcterms:W3CDTF">2024-04-25T03:26:10Z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B0A1C1F153014B40B68BD10983C78CA6</vt:lpwstr>
  </property>
</Properties>
</file>